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45F2" w14:textId="77777777" w:rsidR="00CD06B7" w:rsidRDefault="00CD06B7">
      <w:pPr>
        <w:pStyle w:val="Heading2"/>
      </w:pPr>
      <w:r>
        <w:t>Confidentiality Policy</w:t>
      </w:r>
    </w:p>
    <w:p w14:paraId="4F5845F3" w14:textId="77777777" w:rsidR="00CD06B7" w:rsidRDefault="00CD06B7">
      <w:pPr>
        <w:rPr>
          <w:rFonts w:ascii="Arial" w:hAnsi="Arial" w:cs="Arial"/>
        </w:rPr>
      </w:pPr>
    </w:p>
    <w:p w14:paraId="4F5845F4" w14:textId="77777777" w:rsidR="00CD06B7" w:rsidRDefault="00CD06B7">
      <w:pPr>
        <w:pStyle w:val="Heading3"/>
      </w:pPr>
      <w:r>
        <w:t>Statement</w:t>
      </w:r>
    </w:p>
    <w:p w14:paraId="4F5845F5" w14:textId="77777777" w:rsidR="00CD06B7" w:rsidRDefault="00CD06B7"/>
    <w:p w14:paraId="4F5845F6" w14:textId="77777777" w:rsidR="003672DB" w:rsidRDefault="00CD06B7" w:rsidP="003672DB">
      <w:pPr>
        <w:jc w:val="both"/>
        <w:rPr>
          <w:rFonts w:ascii="Arial" w:hAnsi="Arial" w:cs="Arial"/>
        </w:rPr>
      </w:pPr>
      <w:r w:rsidRPr="005524FF">
        <w:rPr>
          <w:rFonts w:ascii="Arial" w:hAnsi="Arial" w:cs="Arial"/>
        </w:rPr>
        <w:t>The Bond Board is committed to providing a confidential service to all its service users to protect their interests</w:t>
      </w:r>
      <w:r w:rsidR="00FE18AA" w:rsidRPr="005524FF">
        <w:rPr>
          <w:rFonts w:ascii="Arial" w:hAnsi="Arial" w:cs="Arial"/>
        </w:rPr>
        <w:t xml:space="preserve"> and right to privacy</w:t>
      </w:r>
      <w:r w:rsidRPr="005524FF">
        <w:rPr>
          <w:rFonts w:ascii="Arial" w:hAnsi="Arial" w:cs="Arial"/>
        </w:rPr>
        <w:t xml:space="preserve">. </w:t>
      </w:r>
      <w:r w:rsidR="004468B0" w:rsidRPr="005524FF">
        <w:rPr>
          <w:rFonts w:ascii="Arial" w:hAnsi="Arial" w:cs="Arial"/>
        </w:rPr>
        <w:t xml:space="preserve"> </w:t>
      </w:r>
      <w:r w:rsidR="00C92E97" w:rsidRPr="005524FF">
        <w:rPr>
          <w:rFonts w:ascii="Arial" w:hAnsi="Arial" w:cs="Arial"/>
        </w:rPr>
        <w:t>The Bond Board</w:t>
      </w:r>
      <w:r w:rsidRPr="005524FF">
        <w:rPr>
          <w:rFonts w:ascii="Arial" w:hAnsi="Arial" w:cs="Arial"/>
        </w:rPr>
        <w:t xml:space="preserve"> believes that</w:t>
      </w:r>
      <w:r w:rsidR="00C92E97" w:rsidRPr="005524FF">
        <w:rPr>
          <w:rFonts w:ascii="Arial" w:hAnsi="Arial" w:cs="Arial"/>
        </w:rPr>
        <w:t xml:space="preserve"> individuals have a fundamental right to the confidentiality and privacy of information related to the Bond Board services they receive. Individuals have a right to control access </w:t>
      </w:r>
      <w:proofErr w:type="gramStart"/>
      <w:r w:rsidR="00C92E97" w:rsidRPr="005524FF">
        <w:rPr>
          <w:rFonts w:ascii="Arial" w:hAnsi="Arial" w:cs="Arial"/>
        </w:rPr>
        <w:t>to</w:t>
      </w:r>
      <w:proofErr w:type="gramEnd"/>
      <w:r w:rsidR="00C92E97" w:rsidRPr="005524FF">
        <w:rPr>
          <w:rFonts w:ascii="Arial" w:hAnsi="Arial" w:cs="Arial"/>
        </w:rPr>
        <w:t xml:space="preserve"> and disclosure of the information held about t</w:t>
      </w:r>
      <w:r w:rsidR="00DB7CE7" w:rsidRPr="005524FF">
        <w:rPr>
          <w:rFonts w:ascii="Arial" w:hAnsi="Arial" w:cs="Arial"/>
        </w:rPr>
        <w:t>hem by</w:t>
      </w:r>
      <w:r w:rsidR="00C92E97" w:rsidRPr="005524FF">
        <w:rPr>
          <w:rFonts w:ascii="Arial" w:hAnsi="Arial" w:cs="Arial"/>
        </w:rPr>
        <w:t xml:space="preserve"> The Bond Board by giving, withholding or withdrawing consent</w:t>
      </w:r>
      <w:r w:rsidR="006E5808">
        <w:rPr>
          <w:rFonts w:ascii="Arial" w:hAnsi="Arial" w:cs="Arial"/>
        </w:rPr>
        <w:t xml:space="preserve"> </w:t>
      </w:r>
      <w:r w:rsidR="006E5808" w:rsidRPr="00E962B7">
        <w:rPr>
          <w:rFonts w:ascii="Arial" w:hAnsi="Arial" w:cs="Arial"/>
          <w:color w:val="000000"/>
        </w:rPr>
        <w:t>and to be informed of the implications of doing so</w:t>
      </w:r>
      <w:r w:rsidR="00C92E97" w:rsidRPr="00E962B7">
        <w:rPr>
          <w:rFonts w:ascii="Arial" w:hAnsi="Arial" w:cs="Arial"/>
          <w:color w:val="000000"/>
        </w:rPr>
        <w:t>.</w:t>
      </w:r>
      <w:r w:rsidR="00C92E97" w:rsidRPr="005524FF">
        <w:rPr>
          <w:rFonts w:ascii="Arial" w:hAnsi="Arial" w:cs="Arial"/>
        </w:rPr>
        <w:t xml:space="preserve"> T</w:t>
      </w:r>
      <w:r w:rsidRPr="005524FF">
        <w:rPr>
          <w:rFonts w:ascii="Arial" w:hAnsi="Arial" w:cs="Arial"/>
        </w:rPr>
        <w:t xml:space="preserve">he principles of confidentiality </w:t>
      </w:r>
      <w:r w:rsidR="00C92E97" w:rsidRPr="005524FF">
        <w:rPr>
          <w:rFonts w:ascii="Arial" w:hAnsi="Arial" w:cs="Arial"/>
        </w:rPr>
        <w:t xml:space="preserve">apply to all </w:t>
      </w:r>
      <w:r w:rsidRPr="005524FF">
        <w:rPr>
          <w:rFonts w:ascii="Arial" w:hAnsi="Arial" w:cs="Arial"/>
        </w:rPr>
        <w:t xml:space="preserve">aspects of the </w:t>
      </w:r>
      <w:r w:rsidR="00C92E97" w:rsidRPr="005524FF">
        <w:rPr>
          <w:rFonts w:ascii="Arial" w:hAnsi="Arial" w:cs="Arial"/>
        </w:rPr>
        <w:t xml:space="preserve">Bond Board </w:t>
      </w:r>
      <w:r w:rsidRPr="005524FF">
        <w:rPr>
          <w:rFonts w:ascii="Arial" w:hAnsi="Arial" w:cs="Arial"/>
        </w:rPr>
        <w:t>service and management.</w:t>
      </w:r>
      <w:r w:rsidR="008C6365" w:rsidRPr="005524FF">
        <w:rPr>
          <w:rFonts w:ascii="Arial" w:hAnsi="Arial" w:cs="Arial"/>
        </w:rPr>
        <w:t xml:space="preserve"> </w:t>
      </w:r>
      <w:r w:rsidR="00920BA3" w:rsidRPr="005524FF">
        <w:rPr>
          <w:rFonts w:ascii="Arial" w:hAnsi="Arial" w:cs="Arial"/>
        </w:rPr>
        <w:t>Everyone in the workplace has a legal duty to protect the privacy of information about individuals.</w:t>
      </w:r>
      <w:r w:rsidR="003672DB" w:rsidRPr="005524FF">
        <w:rPr>
          <w:rFonts w:ascii="Arial" w:hAnsi="Arial" w:cs="Arial"/>
        </w:rPr>
        <w:t xml:space="preserve"> This policy aims to support staff in making good decisions about the protection, use and disclosure of service user information.</w:t>
      </w:r>
    </w:p>
    <w:p w14:paraId="4F5845F7" w14:textId="77777777" w:rsidR="008C6365" w:rsidRDefault="008C6365">
      <w:pPr>
        <w:rPr>
          <w:rFonts w:ascii="Arial" w:hAnsi="Arial" w:cs="Arial"/>
        </w:rPr>
      </w:pPr>
    </w:p>
    <w:p w14:paraId="4F5845F8" w14:textId="77777777" w:rsidR="00CD06B7" w:rsidRDefault="008C6365" w:rsidP="008C6365">
      <w:pPr>
        <w:jc w:val="both"/>
        <w:rPr>
          <w:rFonts w:ascii="Arial" w:hAnsi="Arial" w:cs="Arial"/>
        </w:rPr>
      </w:pPr>
      <w:r w:rsidRPr="005524FF">
        <w:rPr>
          <w:rFonts w:ascii="Arial" w:hAnsi="Arial" w:cs="Arial"/>
        </w:rPr>
        <w:t>The Bond Board acknowledges and is committed to complying with</w:t>
      </w:r>
      <w:r w:rsidR="00C92E97" w:rsidRPr="005524FF">
        <w:rPr>
          <w:rFonts w:ascii="Arial" w:hAnsi="Arial" w:cs="Arial"/>
        </w:rPr>
        <w:t xml:space="preserve"> </w:t>
      </w:r>
      <w:r w:rsidR="00FE18AA" w:rsidRPr="005524FF">
        <w:rPr>
          <w:rFonts w:ascii="Arial" w:hAnsi="Arial" w:cs="Arial"/>
        </w:rPr>
        <w:t>all statutory provision related to confidentiality, including</w:t>
      </w:r>
      <w:r w:rsidR="00216E14" w:rsidRPr="005524FF">
        <w:rPr>
          <w:rFonts w:ascii="Arial" w:hAnsi="Arial" w:cs="Arial"/>
        </w:rPr>
        <w:t>:</w:t>
      </w:r>
      <w:r w:rsidR="00FE18AA" w:rsidRPr="005524FF">
        <w:rPr>
          <w:rFonts w:ascii="Arial" w:hAnsi="Arial" w:cs="Arial"/>
        </w:rPr>
        <w:t xml:space="preserve"> </w:t>
      </w:r>
      <w:r w:rsidR="00C92E97" w:rsidRPr="005524FF">
        <w:rPr>
          <w:rFonts w:ascii="Arial" w:hAnsi="Arial" w:cs="Arial"/>
        </w:rPr>
        <w:t>the</w:t>
      </w:r>
      <w:r w:rsidRPr="005524FF">
        <w:rPr>
          <w:rFonts w:ascii="Arial" w:hAnsi="Arial" w:cs="Arial"/>
        </w:rPr>
        <w:t xml:space="preserve"> </w:t>
      </w:r>
      <w:r w:rsidR="007F351B" w:rsidRPr="00E962B7">
        <w:rPr>
          <w:rFonts w:ascii="Arial" w:hAnsi="Arial" w:cs="Arial"/>
          <w:color w:val="000000"/>
        </w:rPr>
        <w:t xml:space="preserve">General Data Protection Regulation </w:t>
      </w:r>
      <w:r w:rsidR="00196179" w:rsidRPr="00E962B7">
        <w:rPr>
          <w:rFonts w:ascii="Arial" w:hAnsi="Arial" w:cs="Arial"/>
          <w:color w:val="000000"/>
        </w:rPr>
        <w:t>2018</w:t>
      </w:r>
      <w:r w:rsidR="00382BA5" w:rsidRPr="00E962B7">
        <w:rPr>
          <w:rFonts w:ascii="Arial" w:hAnsi="Arial" w:cs="Arial"/>
          <w:color w:val="000000"/>
        </w:rPr>
        <w:t>;</w:t>
      </w:r>
      <w:r w:rsidRPr="005524FF">
        <w:rPr>
          <w:rFonts w:ascii="Arial" w:hAnsi="Arial" w:cs="Arial"/>
        </w:rPr>
        <w:t xml:space="preserve"> the Human Rights Act 1998</w:t>
      </w:r>
      <w:r w:rsidR="00122D40" w:rsidRPr="005524FF">
        <w:rPr>
          <w:rFonts w:ascii="Arial" w:hAnsi="Arial" w:cs="Arial"/>
        </w:rPr>
        <w:t>, the Children’s Act 1989</w:t>
      </w:r>
      <w:r w:rsidR="00944977" w:rsidRPr="005524FF">
        <w:rPr>
          <w:rFonts w:ascii="Arial" w:hAnsi="Arial" w:cs="Arial"/>
        </w:rPr>
        <w:t xml:space="preserve">, </w:t>
      </w:r>
      <w:r w:rsidR="00122D40" w:rsidRPr="005524FF">
        <w:rPr>
          <w:rFonts w:ascii="Arial" w:hAnsi="Arial" w:cs="Arial"/>
        </w:rPr>
        <w:t>2004</w:t>
      </w:r>
      <w:r w:rsidR="00944977" w:rsidRPr="005524FF">
        <w:rPr>
          <w:rFonts w:ascii="Arial" w:hAnsi="Arial" w:cs="Arial"/>
        </w:rPr>
        <w:t xml:space="preserve"> and related Child Protection Policies, the Rehabilitation of Offenders Act 1974, the Sexual Offences Act 2003, </w:t>
      </w:r>
      <w:r w:rsidR="00702BC0" w:rsidRPr="005524FF">
        <w:rPr>
          <w:rFonts w:ascii="Arial" w:hAnsi="Arial" w:cs="Arial"/>
          <w:bCs/>
          <w:lang w:val="en"/>
        </w:rPr>
        <w:t>the Counter Terrorism Act 2008</w:t>
      </w:r>
      <w:r w:rsidRPr="005524FF">
        <w:rPr>
          <w:rFonts w:ascii="Arial" w:hAnsi="Arial" w:cs="Arial"/>
        </w:rPr>
        <w:t xml:space="preserve"> and the common law principles of confidentiality.</w:t>
      </w:r>
      <w:r>
        <w:rPr>
          <w:rFonts w:ascii="Arial" w:hAnsi="Arial" w:cs="Arial"/>
        </w:rPr>
        <w:t xml:space="preserve"> </w:t>
      </w:r>
    </w:p>
    <w:p w14:paraId="4F5845F9" w14:textId="77777777" w:rsidR="000E02C7" w:rsidRDefault="000E02C7" w:rsidP="00716C48">
      <w:pPr>
        <w:jc w:val="both"/>
        <w:rPr>
          <w:rFonts w:ascii="Arial" w:hAnsi="Arial" w:cs="Arial"/>
        </w:rPr>
      </w:pPr>
    </w:p>
    <w:p w14:paraId="4F5845FA" w14:textId="77777777" w:rsidR="000E02C7" w:rsidRDefault="000E02C7" w:rsidP="00716C48">
      <w:pPr>
        <w:rPr>
          <w:rFonts w:ascii="Arial" w:hAnsi="Arial" w:cs="Arial"/>
          <w:b/>
          <w:bCs/>
          <w:color w:val="202124"/>
        </w:rPr>
      </w:pPr>
      <w:r w:rsidRPr="00716C48">
        <w:rPr>
          <w:rFonts w:ascii="Arial" w:hAnsi="Arial" w:cs="Arial"/>
          <w:b/>
          <w:bCs/>
          <w:color w:val="202124"/>
        </w:rPr>
        <w:t>GDPR</w:t>
      </w:r>
      <w:r w:rsidR="00716C48" w:rsidRPr="00716C48">
        <w:rPr>
          <w:rFonts w:ascii="Arial" w:hAnsi="Arial" w:cs="Arial"/>
          <w:b/>
          <w:bCs/>
          <w:color w:val="202124"/>
        </w:rPr>
        <w:t xml:space="preserve"> - </w:t>
      </w:r>
      <w:r w:rsidRPr="00716C48">
        <w:rPr>
          <w:rFonts w:ascii="Arial" w:hAnsi="Arial" w:cs="Arial"/>
          <w:b/>
          <w:bCs/>
          <w:color w:val="202124"/>
        </w:rPr>
        <w:t>6 data protection principles</w:t>
      </w:r>
      <w:r w:rsidR="00716C48" w:rsidRPr="00716C48">
        <w:rPr>
          <w:rFonts w:ascii="Arial" w:hAnsi="Arial" w:cs="Arial"/>
          <w:b/>
          <w:bCs/>
          <w:color w:val="202124"/>
        </w:rPr>
        <w:t>:</w:t>
      </w:r>
    </w:p>
    <w:p w14:paraId="4F5845FB" w14:textId="77777777" w:rsidR="000E02C7" w:rsidRPr="00716C48" w:rsidRDefault="000E02C7" w:rsidP="00716C48">
      <w:pPr>
        <w:pStyle w:val="trt0xe"/>
        <w:numPr>
          <w:ilvl w:val="0"/>
          <w:numId w:val="10"/>
        </w:numPr>
        <w:spacing w:before="0" w:beforeAutospacing="0" w:after="60" w:afterAutospacing="0"/>
        <w:rPr>
          <w:rFonts w:ascii="Arial" w:hAnsi="Arial" w:cs="Arial"/>
          <w:color w:val="202124"/>
        </w:rPr>
      </w:pPr>
      <w:r w:rsidRPr="00716C48">
        <w:rPr>
          <w:rFonts w:ascii="Arial" w:hAnsi="Arial" w:cs="Arial"/>
          <w:color w:val="202124"/>
        </w:rPr>
        <w:t>Lawfulness, fairness and transparency.</w:t>
      </w:r>
    </w:p>
    <w:p w14:paraId="4F5845FC" w14:textId="77777777" w:rsidR="000E02C7" w:rsidRPr="00716C48" w:rsidRDefault="000E02C7" w:rsidP="00716C48">
      <w:pPr>
        <w:pStyle w:val="trt0xe"/>
        <w:numPr>
          <w:ilvl w:val="0"/>
          <w:numId w:val="10"/>
        </w:numPr>
        <w:spacing w:before="0" w:beforeAutospacing="0" w:after="60" w:afterAutospacing="0"/>
        <w:rPr>
          <w:rFonts w:ascii="Arial" w:hAnsi="Arial" w:cs="Arial"/>
          <w:color w:val="202124"/>
        </w:rPr>
      </w:pPr>
      <w:r w:rsidRPr="00716C48">
        <w:rPr>
          <w:rFonts w:ascii="Arial" w:hAnsi="Arial" w:cs="Arial"/>
          <w:color w:val="202124"/>
        </w:rPr>
        <w:t>Purpose limitation.</w:t>
      </w:r>
    </w:p>
    <w:p w14:paraId="4F5845FD" w14:textId="77777777" w:rsidR="000E02C7" w:rsidRPr="00716C48" w:rsidRDefault="000E02C7" w:rsidP="00716C48">
      <w:pPr>
        <w:pStyle w:val="trt0xe"/>
        <w:numPr>
          <w:ilvl w:val="0"/>
          <w:numId w:val="10"/>
        </w:numPr>
        <w:spacing w:before="0" w:beforeAutospacing="0" w:after="60" w:afterAutospacing="0"/>
        <w:rPr>
          <w:rFonts w:ascii="Arial" w:hAnsi="Arial" w:cs="Arial"/>
          <w:color w:val="202124"/>
        </w:rPr>
      </w:pPr>
      <w:r w:rsidRPr="00716C48">
        <w:rPr>
          <w:rFonts w:ascii="Arial" w:hAnsi="Arial" w:cs="Arial"/>
          <w:color w:val="202124"/>
        </w:rPr>
        <w:t>Data minimisation.</w:t>
      </w:r>
    </w:p>
    <w:p w14:paraId="4F5845FE" w14:textId="77777777" w:rsidR="000E02C7" w:rsidRPr="00716C48" w:rsidRDefault="000E02C7" w:rsidP="00716C48">
      <w:pPr>
        <w:pStyle w:val="trt0xe"/>
        <w:numPr>
          <w:ilvl w:val="0"/>
          <w:numId w:val="10"/>
        </w:numPr>
        <w:spacing w:before="0" w:beforeAutospacing="0" w:after="60" w:afterAutospacing="0"/>
        <w:rPr>
          <w:rFonts w:ascii="Arial" w:hAnsi="Arial" w:cs="Arial"/>
          <w:color w:val="202124"/>
        </w:rPr>
      </w:pPr>
      <w:r w:rsidRPr="00716C48">
        <w:rPr>
          <w:rFonts w:ascii="Arial" w:hAnsi="Arial" w:cs="Arial"/>
          <w:color w:val="202124"/>
        </w:rPr>
        <w:t>Accuracy.</w:t>
      </w:r>
    </w:p>
    <w:p w14:paraId="4F5845FF" w14:textId="77777777" w:rsidR="000E02C7" w:rsidRPr="00716C48" w:rsidRDefault="000E02C7" w:rsidP="00716C48">
      <w:pPr>
        <w:pStyle w:val="trt0xe"/>
        <w:numPr>
          <w:ilvl w:val="0"/>
          <w:numId w:val="10"/>
        </w:numPr>
        <w:spacing w:before="0" w:beforeAutospacing="0" w:after="60" w:afterAutospacing="0"/>
        <w:rPr>
          <w:rFonts w:ascii="Arial" w:hAnsi="Arial" w:cs="Arial"/>
          <w:color w:val="202124"/>
        </w:rPr>
      </w:pPr>
      <w:r w:rsidRPr="00716C48">
        <w:rPr>
          <w:rFonts w:ascii="Arial" w:hAnsi="Arial" w:cs="Arial"/>
          <w:color w:val="202124"/>
        </w:rPr>
        <w:t>Storage limitation.</w:t>
      </w:r>
    </w:p>
    <w:p w14:paraId="4F584600" w14:textId="77777777" w:rsidR="000E02C7" w:rsidRPr="00716C48" w:rsidRDefault="000E02C7" w:rsidP="00716C48">
      <w:pPr>
        <w:pStyle w:val="trt0xe"/>
        <w:numPr>
          <w:ilvl w:val="0"/>
          <w:numId w:val="10"/>
        </w:numPr>
        <w:spacing w:before="0" w:beforeAutospacing="0" w:after="60" w:afterAutospacing="0"/>
        <w:rPr>
          <w:rFonts w:ascii="Arial" w:hAnsi="Arial" w:cs="Arial"/>
          <w:color w:val="202124"/>
        </w:rPr>
      </w:pPr>
      <w:r w:rsidRPr="00716C48">
        <w:rPr>
          <w:rFonts w:ascii="Arial" w:hAnsi="Arial" w:cs="Arial"/>
          <w:color w:val="202124"/>
        </w:rPr>
        <w:t>Integrity and </w:t>
      </w:r>
      <w:r w:rsidRPr="00716C48">
        <w:rPr>
          <w:rFonts w:ascii="Arial" w:hAnsi="Arial" w:cs="Arial"/>
          <w:b/>
          <w:bCs/>
          <w:color w:val="202124"/>
        </w:rPr>
        <w:t>confidentiality</w:t>
      </w:r>
      <w:r w:rsidRPr="00716C48">
        <w:rPr>
          <w:rFonts w:ascii="Arial" w:hAnsi="Arial" w:cs="Arial"/>
          <w:color w:val="202124"/>
        </w:rPr>
        <w:t>.</w:t>
      </w:r>
    </w:p>
    <w:p w14:paraId="4F584601" w14:textId="77777777" w:rsidR="00274132" w:rsidRDefault="00274132" w:rsidP="008C6365">
      <w:pPr>
        <w:jc w:val="both"/>
        <w:rPr>
          <w:rFonts w:ascii="Arial" w:hAnsi="Arial" w:cs="Arial"/>
        </w:rPr>
      </w:pPr>
    </w:p>
    <w:p w14:paraId="4F584602" w14:textId="77777777" w:rsidR="00274132" w:rsidRPr="005524FF" w:rsidRDefault="00702BC0" w:rsidP="00274132">
      <w:pPr>
        <w:rPr>
          <w:rFonts w:ascii="Arial" w:hAnsi="Arial" w:cs="Arial"/>
          <w:b/>
        </w:rPr>
      </w:pPr>
      <w:r w:rsidRPr="005524FF">
        <w:rPr>
          <w:rFonts w:ascii="Arial" w:hAnsi="Arial" w:cs="Arial"/>
          <w:b/>
        </w:rPr>
        <w:t>Bond Board policies related to the Confidentiality Policy include the:</w:t>
      </w:r>
    </w:p>
    <w:p w14:paraId="4F584603" w14:textId="73DE9A46" w:rsidR="00274132" w:rsidRDefault="00702BC0" w:rsidP="009C714D">
      <w:pPr>
        <w:rPr>
          <w:rFonts w:ascii="Arial" w:hAnsi="Arial" w:cs="Arial"/>
        </w:rPr>
      </w:pPr>
      <w:r w:rsidRPr="0E707C01">
        <w:rPr>
          <w:rFonts w:ascii="Arial" w:hAnsi="Arial" w:cs="Arial"/>
        </w:rPr>
        <w:t xml:space="preserve">Child Protection Policy, </w:t>
      </w:r>
      <w:r w:rsidR="00274132" w:rsidRPr="0E707C01">
        <w:rPr>
          <w:rFonts w:ascii="Arial" w:hAnsi="Arial" w:cs="Arial"/>
        </w:rPr>
        <w:t>Data Protection</w:t>
      </w:r>
      <w:r w:rsidRPr="0E707C01">
        <w:rPr>
          <w:rFonts w:ascii="Arial" w:hAnsi="Arial" w:cs="Arial"/>
        </w:rPr>
        <w:t xml:space="preserve"> Policy, Confidentiality and Conflict of Interest Policy, </w:t>
      </w:r>
      <w:r w:rsidR="000A0353" w:rsidRPr="00341129">
        <w:rPr>
          <w:rFonts w:ascii="Arial" w:hAnsi="Arial" w:cs="Arial"/>
        </w:rPr>
        <w:t>Adults at Risk</w:t>
      </w:r>
      <w:r w:rsidR="00235377" w:rsidRPr="00341129">
        <w:rPr>
          <w:rFonts w:ascii="Arial" w:hAnsi="Arial" w:cs="Arial"/>
        </w:rPr>
        <w:t xml:space="preserve"> </w:t>
      </w:r>
      <w:r w:rsidR="00655093" w:rsidRPr="00341129">
        <w:rPr>
          <w:rFonts w:ascii="Arial" w:hAnsi="Arial" w:cs="Arial"/>
        </w:rPr>
        <w:t>Policy</w:t>
      </w:r>
      <w:r w:rsidR="368EEF91" w:rsidRPr="00341129">
        <w:rPr>
          <w:rFonts w:ascii="Arial" w:hAnsi="Arial" w:cs="Arial"/>
        </w:rPr>
        <w:t>.</w:t>
      </w:r>
    </w:p>
    <w:p w14:paraId="4F584605" w14:textId="77777777" w:rsidR="002645DD" w:rsidRDefault="002645DD">
      <w:pPr>
        <w:rPr>
          <w:rFonts w:ascii="Arial" w:hAnsi="Arial" w:cs="Arial"/>
        </w:rPr>
      </w:pPr>
    </w:p>
    <w:p w14:paraId="4F584606" w14:textId="77777777" w:rsidR="002645DD" w:rsidRPr="005524FF" w:rsidRDefault="00B21854">
      <w:pPr>
        <w:rPr>
          <w:rFonts w:ascii="Arial" w:hAnsi="Arial" w:cs="Arial"/>
          <w:b/>
        </w:rPr>
      </w:pPr>
      <w:r w:rsidRPr="005524FF">
        <w:rPr>
          <w:rFonts w:ascii="Arial" w:hAnsi="Arial" w:cs="Arial"/>
          <w:b/>
        </w:rPr>
        <w:t>Disclosure of service user information</w:t>
      </w:r>
    </w:p>
    <w:p w14:paraId="4F584607" w14:textId="77777777" w:rsidR="00B21854" w:rsidRPr="005524FF" w:rsidRDefault="00B21854">
      <w:pPr>
        <w:rPr>
          <w:rFonts w:ascii="Arial" w:hAnsi="Arial" w:cs="Arial"/>
        </w:rPr>
      </w:pPr>
    </w:p>
    <w:p w14:paraId="4F584608" w14:textId="77777777" w:rsidR="008C6365" w:rsidRPr="005524FF" w:rsidRDefault="008C6365" w:rsidP="00876FEE">
      <w:pPr>
        <w:jc w:val="both"/>
        <w:rPr>
          <w:rFonts w:ascii="Arial" w:hAnsi="Arial" w:cs="Arial"/>
        </w:rPr>
      </w:pPr>
      <w:r w:rsidRPr="005524FF">
        <w:rPr>
          <w:rFonts w:ascii="Arial" w:hAnsi="Arial" w:cs="Arial"/>
        </w:rPr>
        <w:t xml:space="preserve">Disclosure of a service </w:t>
      </w:r>
      <w:r w:rsidR="00876FEE" w:rsidRPr="005524FF">
        <w:rPr>
          <w:rFonts w:ascii="Arial" w:hAnsi="Arial" w:cs="Arial"/>
        </w:rPr>
        <w:t>user’s</w:t>
      </w:r>
      <w:r w:rsidRPr="005524FF">
        <w:rPr>
          <w:rFonts w:ascii="Arial" w:hAnsi="Arial" w:cs="Arial"/>
        </w:rPr>
        <w:t xml:space="preserve"> information to a third part</w:t>
      </w:r>
      <w:r w:rsidR="00216E14" w:rsidRPr="005524FF">
        <w:rPr>
          <w:rFonts w:ascii="Arial" w:hAnsi="Arial" w:cs="Arial"/>
        </w:rPr>
        <w:t>y will only be appropriate when:</w:t>
      </w:r>
    </w:p>
    <w:p w14:paraId="4F584609" w14:textId="77777777" w:rsidR="008C6365" w:rsidRPr="005524FF" w:rsidRDefault="008C6365" w:rsidP="00876FEE">
      <w:pPr>
        <w:jc w:val="both"/>
        <w:rPr>
          <w:rFonts w:ascii="Arial" w:hAnsi="Arial" w:cs="Arial"/>
          <w:sz w:val="22"/>
          <w:szCs w:val="22"/>
        </w:rPr>
      </w:pPr>
      <w:r w:rsidRPr="005524FF">
        <w:rPr>
          <w:rFonts w:ascii="Arial" w:hAnsi="Arial" w:cs="Arial"/>
        </w:rPr>
        <w:t xml:space="preserve">  </w:t>
      </w:r>
    </w:p>
    <w:p w14:paraId="4F58460A" w14:textId="77777777" w:rsidR="00876FEE" w:rsidRPr="005524FF" w:rsidRDefault="008C6365" w:rsidP="00876FEE">
      <w:pPr>
        <w:jc w:val="both"/>
        <w:rPr>
          <w:rFonts w:ascii="Arial" w:hAnsi="Arial" w:cs="Arial"/>
        </w:rPr>
      </w:pPr>
      <w:r w:rsidRPr="005524FF">
        <w:rPr>
          <w:rFonts w:ascii="Arial" w:hAnsi="Arial" w:cs="Arial"/>
        </w:rPr>
        <w:t xml:space="preserve">• </w:t>
      </w:r>
      <w:r w:rsidR="00876FEE" w:rsidRPr="005524FF">
        <w:rPr>
          <w:rFonts w:ascii="Arial" w:hAnsi="Arial" w:cs="Arial"/>
        </w:rPr>
        <w:t>The</w:t>
      </w:r>
      <w:r w:rsidRPr="005524FF">
        <w:rPr>
          <w:rFonts w:ascii="Arial" w:hAnsi="Arial" w:cs="Arial"/>
        </w:rPr>
        <w:t xml:space="preserve"> service user has given his or her </w:t>
      </w:r>
      <w:r w:rsidR="00876FEE" w:rsidRPr="005524FF">
        <w:rPr>
          <w:rFonts w:ascii="Arial" w:hAnsi="Arial" w:cs="Arial"/>
        </w:rPr>
        <w:t xml:space="preserve">express </w:t>
      </w:r>
      <w:r w:rsidRPr="005524FF">
        <w:rPr>
          <w:rFonts w:ascii="Arial" w:hAnsi="Arial" w:cs="Arial"/>
        </w:rPr>
        <w:t xml:space="preserve">consent, or </w:t>
      </w:r>
    </w:p>
    <w:p w14:paraId="4F58460B" w14:textId="77777777" w:rsidR="008C6365" w:rsidRPr="005524FF" w:rsidRDefault="008C6365" w:rsidP="00876FEE">
      <w:pPr>
        <w:jc w:val="both"/>
        <w:rPr>
          <w:rFonts w:ascii="Arial" w:hAnsi="Arial" w:cs="Arial"/>
        </w:rPr>
      </w:pPr>
      <w:r w:rsidRPr="005524FF">
        <w:rPr>
          <w:rFonts w:ascii="Arial" w:hAnsi="Arial" w:cs="Arial"/>
        </w:rPr>
        <w:t xml:space="preserve">  </w:t>
      </w:r>
    </w:p>
    <w:p w14:paraId="4F58460C" w14:textId="77777777" w:rsidR="008C6365" w:rsidRPr="005524FF" w:rsidRDefault="008C6365" w:rsidP="00876FEE">
      <w:pPr>
        <w:jc w:val="both"/>
        <w:rPr>
          <w:rFonts w:ascii="Arial" w:hAnsi="Arial" w:cs="Arial"/>
        </w:rPr>
      </w:pPr>
      <w:r w:rsidRPr="005524FF">
        <w:rPr>
          <w:rFonts w:ascii="Arial" w:hAnsi="Arial" w:cs="Arial"/>
        </w:rPr>
        <w:t xml:space="preserve">• </w:t>
      </w:r>
      <w:r w:rsidR="00876FEE" w:rsidRPr="005524FF">
        <w:rPr>
          <w:rFonts w:ascii="Arial" w:hAnsi="Arial" w:cs="Arial"/>
        </w:rPr>
        <w:t>There</w:t>
      </w:r>
      <w:r w:rsidRPr="005524FF">
        <w:rPr>
          <w:rFonts w:ascii="Arial" w:hAnsi="Arial" w:cs="Arial"/>
        </w:rPr>
        <w:t xml:space="preserve"> is a </w:t>
      </w:r>
      <w:r w:rsidR="008401D4" w:rsidRPr="00E962B7">
        <w:rPr>
          <w:rFonts w:ascii="Arial" w:hAnsi="Arial" w:cs="Arial"/>
          <w:color w:val="000000"/>
        </w:rPr>
        <w:t>lawful basis or</w:t>
      </w:r>
      <w:r w:rsidR="008401D4">
        <w:rPr>
          <w:rFonts w:ascii="Arial" w:hAnsi="Arial" w:cs="Arial"/>
          <w:color w:val="FF0000"/>
        </w:rPr>
        <w:t xml:space="preserve"> </w:t>
      </w:r>
      <w:r w:rsidRPr="005524FF">
        <w:rPr>
          <w:rFonts w:ascii="Arial" w:hAnsi="Arial" w:cs="Arial"/>
        </w:rPr>
        <w:t xml:space="preserve">statutory requirement to use or disclose the information, or  </w:t>
      </w:r>
    </w:p>
    <w:p w14:paraId="4F58460D" w14:textId="77777777" w:rsidR="00876FEE" w:rsidRPr="00876FEE" w:rsidRDefault="00876FEE" w:rsidP="00876FEE">
      <w:pPr>
        <w:jc w:val="both"/>
        <w:rPr>
          <w:rFonts w:ascii="Arial" w:hAnsi="Arial" w:cs="Arial"/>
          <w:highlight w:val="green"/>
        </w:rPr>
      </w:pPr>
    </w:p>
    <w:p w14:paraId="4F58460E" w14:textId="77777777" w:rsidR="008C6365" w:rsidRPr="005524FF" w:rsidRDefault="008C6365" w:rsidP="00876FEE">
      <w:pPr>
        <w:jc w:val="both"/>
        <w:rPr>
          <w:rFonts w:ascii="Arial" w:hAnsi="Arial" w:cs="Arial"/>
        </w:rPr>
      </w:pPr>
      <w:r w:rsidRPr="005524FF">
        <w:rPr>
          <w:rFonts w:ascii="Arial" w:hAnsi="Arial" w:cs="Arial"/>
        </w:rPr>
        <w:t xml:space="preserve">• </w:t>
      </w:r>
      <w:r w:rsidR="00876FEE" w:rsidRPr="005524FF">
        <w:rPr>
          <w:rFonts w:ascii="Arial" w:hAnsi="Arial" w:cs="Arial"/>
        </w:rPr>
        <w:t>The</w:t>
      </w:r>
      <w:r w:rsidRPr="005524FF">
        <w:rPr>
          <w:rFonts w:ascii="Arial" w:hAnsi="Arial" w:cs="Arial"/>
        </w:rPr>
        <w:t xml:space="preserve"> balance of public and private interests favours disclosure.  In such situations there must be a substantial public interest favouring disclosure which outweighs both the private interests of the individual and the public interest in safeguarding confidentiality.</w:t>
      </w:r>
      <w:r w:rsidR="00C92E97" w:rsidRPr="005524FF">
        <w:rPr>
          <w:rFonts w:ascii="Arial" w:hAnsi="Arial" w:cs="Arial"/>
        </w:rPr>
        <w:t xml:space="preserve"> </w:t>
      </w:r>
    </w:p>
    <w:p w14:paraId="4F58460F" w14:textId="77777777" w:rsidR="00876FEE" w:rsidRPr="00876FEE" w:rsidRDefault="00876FEE" w:rsidP="00876FEE">
      <w:pPr>
        <w:jc w:val="both"/>
        <w:rPr>
          <w:rFonts w:ascii="Arial" w:hAnsi="Arial" w:cs="Arial"/>
          <w:highlight w:val="green"/>
        </w:rPr>
      </w:pPr>
    </w:p>
    <w:p w14:paraId="4F584610" w14:textId="022CA2F1" w:rsidR="00373915" w:rsidRDefault="00C92E97" w:rsidP="0E707C01">
      <w:pPr>
        <w:jc w:val="both"/>
        <w:rPr>
          <w:rFonts w:ascii="Arial" w:hAnsi="Arial" w:cs="Arial"/>
          <w:b/>
          <w:bCs/>
        </w:rPr>
      </w:pPr>
      <w:r w:rsidRPr="0E707C01">
        <w:rPr>
          <w:rFonts w:ascii="Arial" w:hAnsi="Arial" w:cs="Arial"/>
          <w:b/>
          <w:bCs/>
        </w:rPr>
        <w:t>All d</w:t>
      </w:r>
      <w:r w:rsidR="00876FEE" w:rsidRPr="0E707C01">
        <w:rPr>
          <w:rFonts w:ascii="Arial" w:hAnsi="Arial" w:cs="Arial"/>
          <w:b/>
          <w:bCs/>
        </w:rPr>
        <w:t xml:space="preserve">ecisions about disclosure of a service </w:t>
      </w:r>
      <w:r w:rsidR="001E7B48" w:rsidRPr="0E707C01">
        <w:rPr>
          <w:rFonts w:ascii="Arial" w:hAnsi="Arial" w:cs="Arial"/>
          <w:b/>
          <w:bCs/>
        </w:rPr>
        <w:t>user’s</w:t>
      </w:r>
      <w:r w:rsidR="00876FEE" w:rsidRPr="0E707C01">
        <w:rPr>
          <w:rFonts w:ascii="Arial" w:hAnsi="Arial" w:cs="Arial"/>
          <w:b/>
          <w:bCs/>
        </w:rPr>
        <w:t xml:space="preserve"> information without consent </w:t>
      </w:r>
      <w:r w:rsidR="007F351B" w:rsidRPr="0E707C01">
        <w:rPr>
          <w:rFonts w:ascii="Arial" w:hAnsi="Arial" w:cs="Arial"/>
          <w:b/>
          <w:bCs/>
          <w:color w:val="000000" w:themeColor="text1"/>
        </w:rPr>
        <w:t xml:space="preserve">and/or </w:t>
      </w:r>
      <w:r w:rsidR="00373915" w:rsidRPr="0E707C01">
        <w:rPr>
          <w:rFonts w:ascii="Arial" w:hAnsi="Arial" w:cs="Arial"/>
          <w:b/>
          <w:bCs/>
          <w:color w:val="000000" w:themeColor="text1"/>
        </w:rPr>
        <w:t>prior notice</w:t>
      </w:r>
      <w:r w:rsidR="00373915" w:rsidRPr="0E707C01">
        <w:rPr>
          <w:rFonts w:ascii="Arial" w:hAnsi="Arial" w:cs="Arial"/>
          <w:b/>
          <w:bCs/>
          <w:color w:val="FF0000"/>
        </w:rPr>
        <w:t xml:space="preserve"> </w:t>
      </w:r>
      <w:r w:rsidR="63482694" w:rsidRPr="00A35A6C">
        <w:rPr>
          <w:rFonts w:ascii="Arial" w:hAnsi="Arial" w:cs="Arial"/>
          <w:b/>
          <w:bCs/>
        </w:rPr>
        <w:t xml:space="preserve">can only be made by </w:t>
      </w:r>
      <w:r w:rsidR="00A35A6C" w:rsidRPr="00A35A6C">
        <w:rPr>
          <w:rFonts w:ascii="Arial" w:hAnsi="Arial" w:cs="Arial"/>
          <w:b/>
          <w:bCs/>
        </w:rPr>
        <w:t>Operational Managers</w:t>
      </w:r>
      <w:r w:rsidR="63482694" w:rsidRPr="00A35A6C">
        <w:rPr>
          <w:rFonts w:ascii="Arial" w:hAnsi="Arial" w:cs="Arial"/>
          <w:b/>
          <w:bCs/>
        </w:rPr>
        <w:t xml:space="preserve">, </w:t>
      </w:r>
      <w:r w:rsidR="00D87DF4" w:rsidRPr="00A35A6C">
        <w:rPr>
          <w:rFonts w:ascii="Arial" w:hAnsi="Arial" w:cs="Arial"/>
          <w:b/>
          <w:bCs/>
        </w:rPr>
        <w:t>members of t</w:t>
      </w:r>
      <w:r w:rsidR="00655093" w:rsidRPr="00A35A6C">
        <w:rPr>
          <w:rFonts w:ascii="Arial" w:hAnsi="Arial" w:cs="Arial"/>
          <w:b/>
          <w:bCs/>
        </w:rPr>
        <w:t xml:space="preserve">he </w:t>
      </w:r>
      <w:r w:rsidR="63482694" w:rsidRPr="00A35A6C">
        <w:rPr>
          <w:rFonts w:ascii="Arial" w:hAnsi="Arial" w:cs="Arial"/>
          <w:b/>
          <w:bCs/>
        </w:rPr>
        <w:t>S</w:t>
      </w:r>
      <w:r w:rsidR="00655093" w:rsidRPr="00A35A6C">
        <w:rPr>
          <w:rFonts w:ascii="Arial" w:hAnsi="Arial" w:cs="Arial"/>
          <w:b/>
          <w:bCs/>
        </w:rPr>
        <w:t xml:space="preserve">enior </w:t>
      </w:r>
      <w:r w:rsidR="63482694" w:rsidRPr="00A35A6C">
        <w:rPr>
          <w:rFonts w:ascii="Arial" w:hAnsi="Arial" w:cs="Arial"/>
          <w:b/>
          <w:bCs/>
        </w:rPr>
        <w:t>L</w:t>
      </w:r>
      <w:r w:rsidR="00655093" w:rsidRPr="00A35A6C">
        <w:rPr>
          <w:rFonts w:ascii="Arial" w:hAnsi="Arial" w:cs="Arial"/>
          <w:b/>
          <w:bCs/>
        </w:rPr>
        <w:t xml:space="preserve">eadership </w:t>
      </w:r>
      <w:r w:rsidR="63482694" w:rsidRPr="00A35A6C">
        <w:rPr>
          <w:rFonts w:ascii="Arial" w:hAnsi="Arial" w:cs="Arial"/>
          <w:b/>
          <w:bCs/>
        </w:rPr>
        <w:t>T</w:t>
      </w:r>
      <w:r w:rsidR="00655093" w:rsidRPr="00A35A6C">
        <w:rPr>
          <w:rFonts w:ascii="Arial" w:hAnsi="Arial" w:cs="Arial"/>
          <w:b/>
          <w:bCs/>
        </w:rPr>
        <w:t>eam</w:t>
      </w:r>
      <w:r w:rsidR="63482694" w:rsidRPr="00A35A6C">
        <w:rPr>
          <w:rFonts w:ascii="Arial" w:hAnsi="Arial" w:cs="Arial"/>
          <w:b/>
          <w:bCs/>
        </w:rPr>
        <w:t xml:space="preserve"> </w:t>
      </w:r>
      <w:r w:rsidR="00876FEE" w:rsidRPr="00A35A6C">
        <w:rPr>
          <w:rFonts w:ascii="Arial" w:hAnsi="Arial" w:cs="Arial"/>
          <w:b/>
          <w:bCs/>
        </w:rPr>
        <w:t>and/or The Board of Trustees.</w:t>
      </w:r>
      <w:r w:rsidR="00373915" w:rsidRPr="0E707C01">
        <w:rPr>
          <w:rFonts w:ascii="Arial" w:hAnsi="Arial" w:cs="Arial"/>
          <w:b/>
          <w:bCs/>
        </w:rPr>
        <w:t xml:space="preserve"> </w:t>
      </w:r>
    </w:p>
    <w:p w14:paraId="4F584612" w14:textId="77777777" w:rsidR="000A0353" w:rsidRPr="00A35A6C" w:rsidRDefault="000A0353" w:rsidP="00876FEE">
      <w:pPr>
        <w:jc w:val="both"/>
        <w:rPr>
          <w:rFonts w:ascii="Arial" w:hAnsi="Arial" w:cs="Arial"/>
        </w:rPr>
      </w:pPr>
    </w:p>
    <w:p w14:paraId="4F584613" w14:textId="136E1622" w:rsidR="00B04113" w:rsidRPr="00B04113" w:rsidRDefault="00B04113" w:rsidP="00B04113">
      <w:pPr>
        <w:jc w:val="both"/>
        <w:rPr>
          <w:rFonts w:ascii="Arial" w:hAnsi="Arial" w:cs="Arial"/>
        </w:rPr>
      </w:pPr>
      <w:r w:rsidRPr="00A35A6C">
        <w:rPr>
          <w:rFonts w:ascii="Arial" w:hAnsi="Arial" w:cs="Arial"/>
        </w:rPr>
        <w:t xml:space="preserve">Where a statute, court or tribunal imposes a requirement to disclose information, care will be taken only to disclose the information required to comply with and fulfil the purpose of the law. In all cases of discretionary disclosure in the public interest, </w:t>
      </w:r>
      <w:bookmarkStart w:id="0" w:name="_Hlk207365655"/>
      <w:r w:rsidR="00CB291F" w:rsidRPr="00A35A6C">
        <w:rPr>
          <w:rFonts w:ascii="Arial" w:hAnsi="Arial" w:cs="Arial"/>
        </w:rPr>
        <w:t xml:space="preserve">an </w:t>
      </w:r>
      <w:r w:rsidR="22D8D8E9" w:rsidRPr="00A35A6C">
        <w:rPr>
          <w:rFonts w:ascii="Arial" w:hAnsi="Arial" w:cs="Arial"/>
        </w:rPr>
        <w:t>O</w:t>
      </w:r>
      <w:r w:rsidR="000A0353" w:rsidRPr="00A35A6C">
        <w:rPr>
          <w:rFonts w:ascii="Arial" w:hAnsi="Arial" w:cs="Arial"/>
        </w:rPr>
        <w:t>p</w:t>
      </w:r>
      <w:r w:rsidR="00890E61" w:rsidRPr="00A35A6C">
        <w:rPr>
          <w:rFonts w:ascii="Arial" w:hAnsi="Arial" w:cs="Arial"/>
        </w:rPr>
        <w:t>erational</w:t>
      </w:r>
      <w:r w:rsidR="000A0353" w:rsidRPr="00A35A6C">
        <w:rPr>
          <w:rFonts w:ascii="Arial" w:hAnsi="Arial" w:cs="Arial"/>
        </w:rPr>
        <w:t xml:space="preserve"> </w:t>
      </w:r>
      <w:r w:rsidR="00890E61" w:rsidRPr="00A35A6C">
        <w:rPr>
          <w:rFonts w:ascii="Arial" w:hAnsi="Arial" w:cs="Arial"/>
        </w:rPr>
        <w:t>M</w:t>
      </w:r>
      <w:r w:rsidR="000A0353" w:rsidRPr="00A35A6C">
        <w:rPr>
          <w:rFonts w:ascii="Arial" w:hAnsi="Arial" w:cs="Arial"/>
        </w:rPr>
        <w:t>anager, S</w:t>
      </w:r>
      <w:r w:rsidR="00890E61" w:rsidRPr="00A35A6C">
        <w:rPr>
          <w:rFonts w:ascii="Arial" w:hAnsi="Arial" w:cs="Arial"/>
        </w:rPr>
        <w:t xml:space="preserve">enior Leadership Team </w:t>
      </w:r>
      <w:r w:rsidR="00CB291F" w:rsidRPr="00A35A6C">
        <w:rPr>
          <w:rFonts w:ascii="Arial" w:hAnsi="Arial" w:cs="Arial"/>
        </w:rPr>
        <w:t>or the</w:t>
      </w:r>
      <w:r w:rsidR="000A0353" w:rsidRPr="00A35A6C">
        <w:rPr>
          <w:rFonts w:ascii="Arial" w:hAnsi="Arial" w:cs="Arial"/>
        </w:rPr>
        <w:t xml:space="preserve"> </w:t>
      </w:r>
      <w:r w:rsidRPr="00A35A6C">
        <w:rPr>
          <w:rFonts w:ascii="Arial" w:hAnsi="Arial" w:cs="Arial"/>
        </w:rPr>
        <w:t xml:space="preserve">Chief </w:t>
      </w:r>
      <w:r w:rsidR="000A0353" w:rsidRPr="00A35A6C">
        <w:rPr>
          <w:rFonts w:ascii="Arial" w:hAnsi="Arial" w:cs="Arial"/>
        </w:rPr>
        <w:t xml:space="preserve">Executive </w:t>
      </w:r>
      <w:r w:rsidRPr="00A35A6C">
        <w:rPr>
          <w:rFonts w:ascii="Arial" w:hAnsi="Arial" w:cs="Arial"/>
        </w:rPr>
        <w:t xml:space="preserve">Officer </w:t>
      </w:r>
      <w:bookmarkEnd w:id="0"/>
      <w:r w:rsidRPr="0E707C01">
        <w:rPr>
          <w:rFonts w:ascii="Arial" w:hAnsi="Arial" w:cs="Arial"/>
        </w:rPr>
        <w:t>will consider whether the release of informati</w:t>
      </w:r>
      <w:r w:rsidR="0002473B" w:rsidRPr="0E707C01">
        <w:rPr>
          <w:rFonts w:ascii="Arial" w:hAnsi="Arial" w:cs="Arial"/>
        </w:rPr>
        <w:t>on to protect the interests of the service user or a third</w:t>
      </w:r>
      <w:r w:rsidRPr="0E707C01">
        <w:rPr>
          <w:rFonts w:ascii="Arial" w:hAnsi="Arial" w:cs="Arial"/>
        </w:rPr>
        <w:t xml:space="preserve"> party exceptionally prevails</w:t>
      </w:r>
      <w:r w:rsidR="00216E14" w:rsidRPr="0E707C01">
        <w:rPr>
          <w:rFonts w:ascii="Arial" w:hAnsi="Arial" w:cs="Arial"/>
        </w:rPr>
        <w:t>,</w:t>
      </w:r>
      <w:r w:rsidRPr="0E707C01">
        <w:rPr>
          <w:rFonts w:ascii="Arial" w:hAnsi="Arial" w:cs="Arial"/>
        </w:rPr>
        <w:t xml:space="preserve"> both over the duty of confidence owed to the service user</w:t>
      </w:r>
      <w:r w:rsidR="0002473B" w:rsidRPr="0E707C01">
        <w:rPr>
          <w:rFonts w:ascii="Arial" w:hAnsi="Arial" w:cs="Arial"/>
        </w:rPr>
        <w:t>/third party</w:t>
      </w:r>
      <w:r w:rsidRPr="0E707C01">
        <w:rPr>
          <w:rFonts w:ascii="Arial" w:hAnsi="Arial" w:cs="Arial"/>
        </w:rPr>
        <w:t>.</w:t>
      </w:r>
    </w:p>
    <w:p w14:paraId="4F584614" w14:textId="77777777" w:rsidR="00B04113" w:rsidRPr="008C6365" w:rsidRDefault="00B04113" w:rsidP="00876FEE">
      <w:pPr>
        <w:jc w:val="both"/>
        <w:rPr>
          <w:rFonts w:ascii="Arial" w:hAnsi="Arial" w:cs="Arial"/>
        </w:rPr>
      </w:pPr>
    </w:p>
    <w:p w14:paraId="4F584615" w14:textId="77777777" w:rsidR="008C6365" w:rsidRDefault="008C6365">
      <w:pPr>
        <w:rPr>
          <w:rFonts w:ascii="Arial" w:hAnsi="Arial" w:cs="Arial"/>
        </w:rPr>
      </w:pPr>
    </w:p>
    <w:p w14:paraId="4F584616" w14:textId="77777777" w:rsidR="00CD06B7" w:rsidRDefault="00CD06B7">
      <w:pPr>
        <w:pStyle w:val="Heading3"/>
      </w:pPr>
      <w:r>
        <w:t>Definition of Confidentiality</w:t>
      </w:r>
    </w:p>
    <w:p w14:paraId="4F584617" w14:textId="77777777" w:rsidR="00CD06B7" w:rsidRDefault="00CD06B7"/>
    <w:p w14:paraId="4F584618" w14:textId="77777777" w:rsidR="00CD06B7" w:rsidRDefault="00CD06B7" w:rsidP="008C6365">
      <w:pPr>
        <w:jc w:val="both"/>
        <w:rPr>
          <w:rFonts w:ascii="Arial" w:hAnsi="Arial" w:cs="Arial"/>
        </w:rPr>
      </w:pPr>
      <w:r>
        <w:rPr>
          <w:rFonts w:ascii="Arial" w:hAnsi="Arial" w:cs="Arial"/>
        </w:rPr>
        <w:t xml:space="preserve">The Bond Board understands confidentiality to mean that no information regarding a service user will be given directly or indirectly to any third party without </w:t>
      </w:r>
      <w:r w:rsidR="006E5808" w:rsidRPr="00E962B7">
        <w:rPr>
          <w:rFonts w:ascii="Arial" w:hAnsi="Arial" w:cs="Arial"/>
          <w:color w:val="000000"/>
        </w:rPr>
        <w:t xml:space="preserve">prior notice </w:t>
      </w:r>
      <w:r w:rsidR="007F351B" w:rsidRPr="00E962B7">
        <w:rPr>
          <w:rFonts w:ascii="Arial" w:hAnsi="Arial" w:cs="Arial"/>
          <w:color w:val="000000"/>
        </w:rPr>
        <w:t>and/</w:t>
      </w:r>
      <w:r w:rsidR="006E5808" w:rsidRPr="00E962B7">
        <w:rPr>
          <w:rFonts w:ascii="Arial" w:hAnsi="Arial" w:cs="Arial"/>
          <w:color w:val="000000"/>
        </w:rPr>
        <w:t>or</w:t>
      </w:r>
      <w:r w:rsidR="006E5808">
        <w:rPr>
          <w:rFonts w:ascii="Arial" w:hAnsi="Arial" w:cs="Arial"/>
        </w:rPr>
        <w:t xml:space="preserve"> </w:t>
      </w:r>
      <w:r>
        <w:rPr>
          <w:rFonts w:ascii="Arial" w:hAnsi="Arial" w:cs="Arial"/>
        </w:rPr>
        <w:t xml:space="preserve">the consent of the service user. </w:t>
      </w:r>
      <w:r w:rsidR="004468B0">
        <w:rPr>
          <w:rFonts w:ascii="Arial" w:hAnsi="Arial" w:cs="Arial"/>
        </w:rPr>
        <w:t xml:space="preserve"> </w:t>
      </w:r>
      <w:r>
        <w:rPr>
          <w:rFonts w:ascii="Arial" w:hAnsi="Arial" w:cs="Arial"/>
        </w:rPr>
        <w:t>Any exemption from this</w:t>
      </w:r>
      <w:r w:rsidR="00FE18AA">
        <w:rPr>
          <w:rFonts w:ascii="Arial" w:hAnsi="Arial" w:cs="Arial"/>
        </w:rPr>
        <w:t xml:space="preserve"> </w:t>
      </w:r>
      <w:r w:rsidR="00FE18AA" w:rsidRPr="005524FF">
        <w:rPr>
          <w:rFonts w:ascii="Arial" w:hAnsi="Arial" w:cs="Arial"/>
        </w:rPr>
        <w:t>position</w:t>
      </w:r>
      <w:r w:rsidR="00FE18AA" w:rsidRPr="00FE18AA">
        <w:rPr>
          <w:rFonts w:ascii="Arial" w:hAnsi="Arial" w:cs="Arial"/>
        </w:rPr>
        <w:t xml:space="preserve"> </w:t>
      </w:r>
      <w:r w:rsidR="00FE18AA">
        <w:rPr>
          <w:rFonts w:ascii="Arial" w:hAnsi="Arial" w:cs="Arial"/>
        </w:rPr>
        <w:t xml:space="preserve">is </w:t>
      </w:r>
      <w:r>
        <w:rPr>
          <w:rFonts w:ascii="Arial" w:hAnsi="Arial" w:cs="Arial"/>
        </w:rPr>
        <w:t xml:space="preserve">laid </w:t>
      </w:r>
      <w:r w:rsidR="006E5808">
        <w:rPr>
          <w:rFonts w:ascii="Arial" w:hAnsi="Arial" w:cs="Arial"/>
        </w:rPr>
        <w:t>out below</w:t>
      </w:r>
      <w:r w:rsidRPr="00FE18AA">
        <w:rPr>
          <w:rFonts w:ascii="Arial" w:hAnsi="Arial" w:cs="Arial"/>
        </w:rPr>
        <w:t xml:space="preserve"> under breaches of confidentiality.</w:t>
      </w:r>
    </w:p>
    <w:p w14:paraId="4F584619" w14:textId="77777777" w:rsidR="00CD06B7" w:rsidRDefault="00CD06B7" w:rsidP="008C6365">
      <w:pPr>
        <w:jc w:val="both"/>
        <w:rPr>
          <w:rFonts w:ascii="Arial" w:hAnsi="Arial" w:cs="Arial"/>
        </w:rPr>
      </w:pPr>
    </w:p>
    <w:p w14:paraId="4F58461A" w14:textId="77777777" w:rsidR="00CD06B7" w:rsidRDefault="00CD06B7" w:rsidP="008C6365">
      <w:pPr>
        <w:jc w:val="both"/>
        <w:rPr>
          <w:rFonts w:ascii="Arial" w:hAnsi="Arial" w:cs="Arial"/>
        </w:rPr>
      </w:pPr>
      <w:r>
        <w:rPr>
          <w:rFonts w:ascii="Arial" w:hAnsi="Arial" w:cs="Arial"/>
        </w:rPr>
        <w:t>Since service users</w:t>
      </w:r>
      <w:r w:rsidR="00FE18AA">
        <w:rPr>
          <w:rFonts w:ascii="Arial" w:hAnsi="Arial" w:cs="Arial"/>
        </w:rPr>
        <w:t>’</w:t>
      </w:r>
      <w:r>
        <w:rPr>
          <w:rFonts w:ascii="Arial" w:hAnsi="Arial" w:cs="Arial"/>
        </w:rPr>
        <w:t xml:space="preserve"> approach for assistance is to the organisation rather than to an individual worker, discussion of </w:t>
      </w:r>
      <w:proofErr w:type="gramStart"/>
      <w:r>
        <w:rPr>
          <w:rFonts w:ascii="Arial" w:hAnsi="Arial" w:cs="Arial"/>
        </w:rPr>
        <w:t>particular cases</w:t>
      </w:r>
      <w:proofErr w:type="gramEnd"/>
      <w:r>
        <w:rPr>
          <w:rFonts w:ascii="Arial" w:hAnsi="Arial" w:cs="Arial"/>
        </w:rPr>
        <w:t xml:space="preserve"> within The Bond Board does not constitute passing details to a third party. </w:t>
      </w:r>
      <w:r w:rsidR="004468B0">
        <w:rPr>
          <w:rFonts w:ascii="Arial" w:hAnsi="Arial" w:cs="Arial"/>
        </w:rPr>
        <w:t xml:space="preserve"> </w:t>
      </w:r>
      <w:r>
        <w:rPr>
          <w:rFonts w:ascii="Arial" w:hAnsi="Arial" w:cs="Arial"/>
        </w:rPr>
        <w:t>This approach is a way for workers to gain support and guidance in their work and should be used with sensitivity.</w:t>
      </w:r>
    </w:p>
    <w:p w14:paraId="4F58461B" w14:textId="77777777" w:rsidR="00CD06B7" w:rsidRDefault="00CD06B7" w:rsidP="008C6365">
      <w:pPr>
        <w:jc w:val="both"/>
        <w:rPr>
          <w:rFonts w:ascii="Arial" w:hAnsi="Arial" w:cs="Arial"/>
        </w:rPr>
      </w:pPr>
    </w:p>
    <w:p w14:paraId="4F58461C" w14:textId="77777777" w:rsidR="00CD06B7" w:rsidRDefault="00CD06B7" w:rsidP="008C6365">
      <w:pPr>
        <w:jc w:val="both"/>
        <w:rPr>
          <w:rFonts w:ascii="Arial" w:hAnsi="Arial" w:cs="Arial"/>
        </w:rPr>
      </w:pPr>
      <w:r>
        <w:rPr>
          <w:rFonts w:ascii="Arial" w:hAnsi="Arial" w:cs="Arial"/>
        </w:rPr>
        <w:t xml:space="preserve">The Bond Board will not confirm the presence of the service user in offices or his or her use of the service without express consent. </w:t>
      </w:r>
      <w:r w:rsidR="004468B0">
        <w:rPr>
          <w:rFonts w:ascii="Arial" w:hAnsi="Arial" w:cs="Arial"/>
        </w:rPr>
        <w:t xml:space="preserve"> </w:t>
      </w:r>
      <w:r>
        <w:rPr>
          <w:rFonts w:ascii="Arial" w:hAnsi="Arial" w:cs="Arial"/>
        </w:rPr>
        <w:t>Any exemption from this will be laid out below under breaches of confidentiality.</w:t>
      </w:r>
    </w:p>
    <w:p w14:paraId="4F58461D" w14:textId="77777777" w:rsidR="00CD06B7" w:rsidRDefault="00CD06B7">
      <w:pPr>
        <w:rPr>
          <w:rFonts w:ascii="Arial" w:hAnsi="Arial" w:cs="Arial"/>
        </w:rPr>
      </w:pPr>
    </w:p>
    <w:p w14:paraId="4F58461E" w14:textId="77777777" w:rsidR="00716C48" w:rsidRDefault="00716C48">
      <w:pPr>
        <w:rPr>
          <w:rFonts w:ascii="Arial" w:hAnsi="Arial" w:cs="Arial"/>
        </w:rPr>
      </w:pPr>
    </w:p>
    <w:p w14:paraId="4F58461F" w14:textId="77777777" w:rsidR="0019010D" w:rsidRPr="00E962B7" w:rsidRDefault="0019010D" w:rsidP="0019010D">
      <w:pPr>
        <w:rPr>
          <w:rFonts w:ascii="Arial" w:hAnsi="Arial" w:cs="Arial"/>
          <w:b/>
          <w:color w:val="000000"/>
        </w:rPr>
      </w:pPr>
      <w:r w:rsidRPr="00E962B7">
        <w:rPr>
          <w:rFonts w:ascii="Arial" w:hAnsi="Arial" w:cs="Arial"/>
          <w:b/>
          <w:color w:val="000000"/>
        </w:rPr>
        <w:t>Confidentiality and Data Security</w:t>
      </w:r>
    </w:p>
    <w:p w14:paraId="4F584620" w14:textId="77777777" w:rsidR="0019010D" w:rsidRDefault="0019010D" w:rsidP="0019010D">
      <w:pPr>
        <w:rPr>
          <w:rFonts w:ascii="Arial" w:hAnsi="Arial" w:cs="Arial"/>
          <w:b/>
          <w:color w:val="FF0000"/>
        </w:rPr>
      </w:pPr>
    </w:p>
    <w:p w14:paraId="4F584621" w14:textId="77777777" w:rsidR="005A5AD2" w:rsidRDefault="0019010D" w:rsidP="0019010D">
      <w:pPr>
        <w:jc w:val="both"/>
        <w:rPr>
          <w:rFonts w:ascii="Arial" w:hAnsi="Arial" w:cs="Arial"/>
        </w:rPr>
      </w:pPr>
      <w:r w:rsidRPr="005524FF">
        <w:rPr>
          <w:rFonts w:ascii="Arial" w:hAnsi="Arial" w:cs="Arial"/>
        </w:rPr>
        <w:t>Each service user’s right to privacy and employees’ duty of confidentiality exist regardless of the form in which information is held or communicated, for example, verbally, electronic records, paper records, photographs and videos.</w:t>
      </w:r>
    </w:p>
    <w:p w14:paraId="4F584622" w14:textId="77777777" w:rsidR="0019010D" w:rsidRDefault="0019010D" w:rsidP="0019010D">
      <w:pPr>
        <w:jc w:val="both"/>
        <w:rPr>
          <w:rFonts w:ascii="Arial" w:hAnsi="Arial" w:cs="Arial"/>
        </w:rPr>
      </w:pPr>
      <w:r w:rsidRPr="00E103A7">
        <w:rPr>
          <w:rFonts w:ascii="Arial" w:hAnsi="Arial" w:cs="Arial"/>
        </w:rPr>
        <w:t xml:space="preserve"> </w:t>
      </w:r>
    </w:p>
    <w:p w14:paraId="4F584623" w14:textId="77777777" w:rsidR="0019010D" w:rsidRPr="00E962B7" w:rsidRDefault="005A5AD2" w:rsidP="0019010D">
      <w:pPr>
        <w:rPr>
          <w:rFonts w:ascii="Arial" w:hAnsi="Arial" w:cs="Arial"/>
          <w:color w:val="000000"/>
        </w:rPr>
      </w:pPr>
      <w:r w:rsidRPr="00E962B7">
        <w:rPr>
          <w:rFonts w:ascii="Arial" w:hAnsi="Arial" w:cs="Arial"/>
          <w:color w:val="000000"/>
        </w:rPr>
        <w:t>The Practical steps all staff and volunteers must take to ensure confidentiality and data security include</w:t>
      </w:r>
      <w:r w:rsidR="0014212A" w:rsidRPr="00E962B7">
        <w:rPr>
          <w:rFonts w:ascii="Arial" w:hAnsi="Arial" w:cs="Arial"/>
          <w:color w:val="000000"/>
        </w:rPr>
        <w:t>:</w:t>
      </w:r>
    </w:p>
    <w:p w14:paraId="4F584624" w14:textId="77777777" w:rsidR="00F040D8" w:rsidRPr="00E962B7" w:rsidRDefault="00F040D8" w:rsidP="0019010D">
      <w:pPr>
        <w:rPr>
          <w:rFonts w:ascii="Arial" w:hAnsi="Arial" w:cs="Arial"/>
          <w:color w:val="000000"/>
        </w:rPr>
      </w:pPr>
    </w:p>
    <w:p w14:paraId="4F584625" w14:textId="77777777" w:rsidR="00F040D8" w:rsidRPr="00E962B7" w:rsidRDefault="00F040D8" w:rsidP="0019010D">
      <w:pPr>
        <w:rPr>
          <w:rFonts w:ascii="Arial" w:hAnsi="Arial" w:cs="Arial"/>
          <w:color w:val="000000"/>
        </w:rPr>
      </w:pPr>
      <w:r w:rsidRPr="00E962B7">
        <w:rPr>
          <w:rFonts w:ascii="Arial" w:hAnsi="Arial" w:cs="Arial"/>
          <w:color w:val="000000"/>
        </w:rPr>
        <w:t>In the office:</w:t>
      </w:r>
    </w:p>
    <w:p w14:paraId="4F584626" w14:textId="77777777" w:rsidR="00F040D8" w:rsidRPr="00492913" w:rsidRDefault="00F040D8" w:rsidP="00F040D8">
      <w:pPr>
        <w:jc w:val="both"/>
      </w:pPr>
    </w:p>
    <w:p w14:paraId="4F584627" w14:textId="77777777" w:rsidR="00F040D8" w:rsidRPr="00E962B7" w:rsidRDefault="00F040D8" w:rsidP="00247F98">
      <w:pPr>
        <w:pStyle w:val="ListParagraph"/>
        <w:numPr>
          <w:ilvl w:val="0"/>
          <w:numId w:val="11"/>
        </w:numPr>
        <w:spacing w:after="160" w:line="259" w:lineRule="auto"/>
        <w:contextualSpacing/>
        <w:jc w:val="both"/>
        <w:rPr>
          <w:rFonts w:ascii="Arial" w:hAnsi="Arial" w:cs="Arial"/>
          <w:color w:val="000000"/>
        </w:rPr>
      </w:pPr>
      <w:r w:rsidRPr="005524FF">
        <w:rPr>
          <w:rFonts w:ascii="Arial" w:hAnsi="Arial" w:cs="Arial"/>
        </w:rPr>
        <w:t xml:space="preserve">Whenever possible, all information relating to service users will be kept in locked filing cabinets or drawers at the end of each working day.  This includes notebooks, copies of correspondence and any other sources of information.  </w:t>
      </w:r>
      <w:r w:rsidRPr="00E962B7">
        <w:rPr>
          <w:rFonts w:ascii="Arial" w:hAnsi="Arial" w:cs="Arial"/>
          <w:color w:val="000000"/>
        </w:rPr>
        <w:t>You should</w:t>
      </w:r>
      <w:r>
        <w:rPr>
          <w:rFonts w:ascii="Arial" w:hAnsi="Arial" w:cs="Arial"/>
        </w:rPr>
        <w:t xml:space="preserve"> </w:t>
      </w:r>
      <w:r w:rsidRPr="005524FF">
        <w:rPr>
          <w:rFonts w:ascii="Arial" w:hAnsi="Arial" w:cs="Arial"/>
        </w:rPr>
        <w:t>take care to ensure</w:t>
      </w:r>
      <w:r>
        <w:rPr>
          <w:rFonts w:ascii="Arial" w:hAnsi="Arial" w:cs="Arial"/>
        </w:rPr>
        <w:t xml:space="preserve"> that no identifying information about service users is visible when people from outside the organisation visit the offices,</w:t>
      </w:r>
      <w:r w:rsidRPr="00F040D8">
        <w:rPr>
          <w:rFonts w:ascii="Arial" w:hAnsi="Arial" w:cs="Arial"/>
          <w:color w:val="FF0000"/>
        </w:rPr>
        <w:t xml:space="preserve"> </w:t>
      </w:r>
      <w:r w:rsidRPr="00E962B7">
        <w:rPr>
          <w:rFonts w:ascii="Arial" w:hAnsi="Arial" w:cs="Arial"/>
          <w:color w:val="000000"/>
        </w:rPr>
        <w:t xml:space="preserve">for example, by leaving printing on the </w:t>
      </w:r>
      <w:r w:rsidRPr="00E962B7">
        <w:rPr>
          <w:rFonts w:ascii="Arial" w:hAnsi="Arial" w:cs="Arial"/>
          <w:color w:val="000000"/>
        </w:rPr>
        <w:lastRenderedPageBreak/>
        <w:t>photocopier, or by not locking a computer screen when away from your desk.</w:t>
      </w:r>
    </w:p>
    <w:p w14:paraId="4F584628" w14:textId="77777777" w:rsidR="00F040D8" w:rsidRPr="00E962B7" w:rsidRDefault="00F040D8" w:rsidP="00F040D8">
      <w:pPr>
        <w:numPr>
          <w:ilvl w:val="0"/>
          <w:numId w:val="6"/>
        </w:numPr>
        <w:jc w:val="both"/>
        <w:rPr>
          <w:rFonts w:ascii="Arial" w:hAnsi="Arial" w:cs="Arial"/>
          <w:color w:val="000000"/>
        </w:rPr>
      </w:pPr>
      <w:r w:rsidRPr="00E962B7">
        <w:rPr>
          <w:rFonts w:ascii="Arial" w:hAnsi="Arial" w:cs="Arial"/>
          <w:color w:val="000000"/>
        </w:rPr>
        <w:t>Notes and other records containing personal data which are not to be kept in a secure file or online and are not required to be kept, should be shredded when no longer needed.</w:t>
      </w:r>
    </w:p>
    <w:p w14:paraId="4F584629" w14:textId="77777777" w:rsidR="0014212A" w:rsidRPr="00E962B7" w:rsidRDefault="0014212A" w:rsidP="0014212A">
      <w:pPr>
        <w:ind w:left="720"/>
        <w:jc w:val="both"/>
        <w:rPr>
          <w:rFonts w:ascii="Arial" w:hAnsi="Arial" w:cs="Arial"/>
          <w:color w:val="000000"/>
        </w:rPr>
      </w:pPr>
    </w:p>
    <w:p w14:paraId="4F58462A" w14:textId="77777777" w:rsidR="0014212A" w:rsidRPr="00E962B7" w:rsidRDefault="0014212A" w:rsidP="0014212A">
      <w:pPr>
        <w:ind w:left="720"/>
        <w:jc w:val="both"/>
        <w:rPr>
          <w:rFonts w:ascii="Arial" w:hAnsi="Arial" w:cs="Arial"/>
          <w:color w:val="000000"/>
        </w:rPr>
      </w:pPr>
    </w:p>
    <w:p w14:paraId="4F58462B" w14:textId="77777777" w:rsidR="00F040D8" w:rsidRPr="00E962B7" w:rsidRDefault="00AF21D7" w:rsidP="0019010D">
      <w:pPr>
        <w:rPr>
          <w:rFonts w:ascii="Arial" w:hAnsi="Arial" w:cs="Arial"/>
          <w:b/>
          <w:color w:val="000000"/>
        </w:rPr>
      </w:pPr>
      <w:r w:rsidRPr="00E962B7">
        <w:rPr>
          <w:rFonts w:ascii="Arial" w:hAnsi="Arial" w:cs="Arial"/>
          <w:b/>
          <w:color w:val="000000"/>
        </w:rPr>
        <w:t>P</w:t>
      </w:r>
      <w:r w:rsidR="00F040D8" w:rsidRPr="00E962B7">
        <w:rPr>
          <w:rFonts w:ascii="Arial" w:hAnsi="Arial" w:cs="Arial"/>
          <w:b/>
          <w:color w:val="000000"/>
        </w:rPr>
        <w:t>hone</w:t>
      </w:r>
      <w:r w:rsidR="00716C48">
        <w:rPr>
          <w:rFonts w:ascii="Arial" w:hAnsi="Arial" w:cs="Arial"/>
          <w:b/>
          <w:color w:val="000000"/>
        </w:rPr>
        <w:t>:</w:t>
      </w:r>
    </w:p>
    <w:p w14:paraId="4F58462C" w14:textId="77777777" w:rsidR="0019010D" w:rsidRPr="00E962B7" w:rsidRDefault="0019010D" w:rsidP="0019010D">
      <w:pPr>
        <w:jc w:val="both"/>
        <w:rPr>
          <w:rFonts w:ascii="Arial" w:hAnsi="Arial" w:cs="Arial"/>
          <w:color w:val="000000"/>
        </w:rPr>
      </w:pPr>
    </w:p>
    <w:p w14:paraId="4F58462D" w14:textId="77777777" w:rsidR="00F040D8" w:rsidRPr="00E962B7" w:rsidRDefault="00F040D8" w:rsidP="00716C48">
      <w:pPr>
        <w:jc w:val="both"/>
        <w:rPr>
          <w:rFonts w:ascii="Arial" w:hAnsi="Arial" w:cs="Arial"/>
          <w:color w:val="000000"/>
        </w:rPr>
      </w:pPr>
      <w:r w:rsidRPr="00E962B7">
        <w:rPr>
          <w:rFonts w:ascii="Arial" w:hAnsi="Arial" w:cs="Arial"/>
          <w:color w:val="000000"/>
        </w:rPr>
        <w:t xml:space="preserve">When conducting Bond Board business on the phone and particularly when discussing personal data, staff and volunteers must </w:t>
      </w:r>
      <w:proofErr w:type="gramStart"/>
      <w:r w:rsidRPr="00E962B7">
        <w:rPr>
          <w:rFonts w:ascii="Arial" w:hAnsi="Arial" w:cs="Arial"/>
          <w:color w:val="000000"/>
        </w:rPr>
        <w:t>have regard to Data Protection and confidentiality at all times</w:t>
      </w:r>
      <w:proofErr w:type="gramEnd"/>
      <w:r w:rsidR="00AF21D7" w:rsidRPr="00E962B7">
        <w:rPr>
          <w:rFonts w:ascii="Arial" w:hAnsi="Arial" w:cs="Arial"/>
          <w:color w:val="000000"/>
        </w:rPr>
        <w:t>, including when using a mobile phone outside of the office environment</w:t>
      </w:r>
      <w:r w:rsidR="0014212A" w:rsidRPr="00E962B7">
        <w:rPr>
          <w:rFonts w:ascii="Arial" w:hAnsi="Arial" w:cs="Arial"/>
          <w:color w:val="000000"/>
        </w:rPr>
        <w:t>:</w:t>
      </w:r>
    </w:p>
    <w:p w14:paraId="4F58462E" w14:textId="77777777" w:rsidR="00F040D8" w:rsidRPr="00E962B7" w:rsidRDefault="00F040D8" w:rsidP="00F040D8">
      <w:pPr>
        <w:ind w:left="720"/>
        <w:jc w:val="both"/>
        <w:rPr>
          <w:rFonts w:ascii="Arial" w:hAnsi="Arial" w:cs="Arial"/>
          <w:color w:val="000000"/>
        </w:rPr>
      </w:pPr>
    </w:p>
    <w:p w14:paraId="4F58462F" w14:textId="77777777" w:rsidR="00F040D8" w:rsidRPr="00E962B7" w:rsidRDefault="00F040D8" w:rsidP="00F040D8">
      <w:pPr>
        <w:pStyle w:val="ListParagraph"/>
        <w:numPr>
          <w:ilvl w:val="0"/>
          <w:numId w:val="7"/>
        </w:numPr>
        <w:spacing w:after="160" w:line="259" w:lineRule="auto"/>
        <w:contextualSpacing/>
        <w:jc w:val="both"/>
        <w:rPr>
          <w:rFonts w:ascii="Arial" w:hAnsi="Arial" w:cs="Arial"/>
          <w:color w:val="000000"/>
        </w:rPr>
      </w:pPr>
      <w:r w:rsidRPr="00E962B7">
        <w:rPr>
          <w:rFonts w:ascii="Arial" w:hAnsi="Arial" w:cs="Arial"/>
          <w:color w:val="000000"/>
        </w:rPr>
        <w:t>Make sure you are not overheard by any unauthorised person, e.g. a service user in reception.</w:t>
      </w:r>
    </w:p>
    <w:p w14:paraId="4F584630" w14:textId="77777777" w:rsidR="00F040D8" w:rsidRPr="00E962B7" w:rsidRDefault="00F040D8" w:rsidP="00F040D8">
      <w:pPr>
        <w:pStyle w:val="ListParagraph"/>
        <w:numPr>
          <w:ilvl w:val="0"/>
          <w:numId w:val="7"/>
        </w:numPr>
        <w:spacing w:after="160" w:line="259" w:lineRule="auto"/>
        <w:contextualSpacing/>
        <w:jc w:val="both"/>
        <w:rPr>
          <w:rFonts w:ascii="Arial" w:hAnsi="Arial" w:cs="Arial"/>
          <w:color w:val="000000"/>
        </w:rPr>
      </w:pPr>
      <w:r w:rsidRPr="00E962B7">
        <w:rPr>
          <w:rFonts w:ascii="Arial" w:hAnsi="Arial" w:cs="Arial"/>
          <w:color w:val="000000"/>
        </w:rPr>
        <w:t>Check that you are speaking to the right person before disclosing any personal data.</w:t>
      </w:r>
    </w:p>
    <w:p w14:paraId="4F584631" w14:textId="77777777" w:rsidR="00F040D8" w:rsidRPr="00E962B7" w:rsidRDefault="00F040D8" w:rsidP="00F040D8">
      <w:pPr>
        <w:pStyle w:val="ListParagraph"/>
        <w:numPr>
          <w:ilvl w:val="0"/>
          <w:numId w:val="7"/>
        </w:numPr>
        <w:spacing w:after="160" w:line="259" w:lineRule="auto"/>
        <w:contextualSpacing/>
        <w:jc w:val="both"/>
        <w:rPr>
          <w:rFonts w:ascii="Arial" w:hAnsi="Arial" w:cs="Arial"/>
          <w:color w:val="000000"/>
        </w:rPr>
      </w:pPr>
      <w:r w:rsidRPr="00E962B7">
        <w:rPr>
          <w:rFonts w:ascii="Arial" w:hAnsi="Arial" w:cs="Arial"/>
          <w:color w:val="000000"/>
        </w:rPr>
        <w:t xml:space="preserve">When receiving telephone enquiries, only disclose personal data we hold </w:t>
      </w:r>
      <w:proofErr w:type="gramStart"/>
      <w:r w:rsidRPr="00E962B7">
        <w:rPr>
          <w:rFonts w:ascii="Arial" w:hAnsi="Arial" w:cs="Arial"/>
          <w:color w:val="000000"/>
        </w:rPr>
        <w:t>on</w:t>
      </w:r>
      <w:proofErr w:type="gramEnd"/>
      <w:r w:rsidRPr="00E962B7">
        <w:rPr>
          <w:rFonts w:ascii="Arial" w:hAnsi="Arial" w:cs="Arial"/>
          <w:color w:val="000000"/>
        </w:rPr>
        <w:t xml:space="preserve"> our systems if you have checked the caller’s identity and made sure that there is a lawful basis for disclosing the information. If you are unsure, make further checks first and ring the caller back. If necessary, ask the caller to put their request in writing and seek advice from a line manager.</w:t>
      </w:r>
    </w:p>
    <w:p w14:paraId="4F584632" w14:textId="77777777" w:rsidR="00F040D8" w:rsidRPr="00AF21D7" w:rsidRDefault="00F040D8" w:rsidP="00F040D8">
      <w:pPr>
        <w:pStyle w:val="ListParagraph"/>
        <w:spacing w:after="160" w:line="259" w:lineRule="auto"/>
        <w:ind w:left="0"/>
        <w:contextualSpacing/>
        <w:jc w:val="both"/>
        <w:rPr>
          <w:rFonts w:ascii="Arial" w:hAnsi="Arial" w:cs="Arial"/>
          <w:color w:val="FF0000"/>
        </w:rPr>
      </w:pPr>
    </w:p>
    <w:p w14:paraId="4F584633" w14:textId="77777777" w:rsidR="00F040D8" w:rsidRPr="00E962B7" w:rsidRDefault="00F040D8" w:rsidP="00F040D8">
      <w:pPr>
        <w:pStyle w:val="ListParagraph"/>
        <w:spacing w:after="160" w:line="259" w:lineRule="auto"/>
        <w:ind w:left="0"/>
        <w:contextualSpacing/>
        <w:jc w:val="both"/>
        <w:rPr>
          <w:rFonts w:ascii="Arial" w:hAnsi="Arial" w:cs="Arial"/>
          <w:color w:val="000000"/>
        </w:rPr>
      </w:pPr>
      <w:r w:rsidRPr="00E962B7">
        <w:rPr>
          <w:rFonts w:ascii="Arial" w:hAnsi="Arial" w:cs="Arial"/>
          <w:b/>
          <w:color w:val="000000"/>
        </w:rPr>
        <w:t>Sending personal data by post</w:t>
      </w:r>
      <w:r w:rsidRPr="00E962B7">
        <w:rPr>
          <w:rFonts w:ascii="Arial" w:hAnsi="Arial" w:cs="Arial"/>
          <w:color w:val="000000"/>
        </w:rPr>
        <w:t>:</w:t>
      </w:r>
    </w:p>
    <w:p w14:paraId="4F584634" w14:textId="77777777" w:rsidR="00F040D8" w:rsidRPr="00E962B7" w:rsidRDefault="00F040D8" w:rsidP="00F040D8">
      <w:pPr>
        <w:pStyle w:val="ListParagraph"/>
        <w:spacing w:after="160" w:line="259" w:lineRule="auto"/>
        <w:ind w:left="0"/>
        <w:contextualSpacing/>
        <w:jc w:val="both"/>
        <w:rPr>
          <w:rFonts w:ascii="Arial" w:hAnsi="Arial" w:cs="Arial"/>
          <w:color w:val="000000"/>
        </w:rPr>
      </w:pPr>
    </w:p>
    <w:p w14:paraId="4F584635" w14:textId="77777777" w:rsidR="00F040D8" w:rsidRPr="00E962B7" w:rsidRDefault="00F040D8" w:rsidP="00F040D8">
      <w:pPr>
        <w:pStyle w:val="ListParagraph"/>
        <w:numPr>
          <w:ilvl w:val="0"/>
          <w:numId w:val="8"/>
        </w:numPr>
        <w:spacing w:after="160" w:line="259" w:lineRule="auto"/>
        <w:contextualSpacing/>
        <w:jc w:val="both"/>
        <w:rPr>
          <w:rFonts w:ascii="Arial" w:hAnsi="Arial" w:cs="Arial"/>
          <w:color w:val="000000"/>
        </w:rPr>
      </w:pPr>
      <w:r w:rsidRPr="00E962B7">
        <w:rPr>
          <w:rFonts w:ascii="Arial" w:hAnsi="Arial" w:cs="Arial"/>
          <w:color w:val="000000"/>
        </w:rPr>
        <w:t xml:space="preserve">Only use post to send documents which contain personal data if </w:t>
      </w:r>
      <w:proofErr w:type="gramStart"/>
      <w:r w:rsidRPr="00E962B7">
        <w:rPr>
          <w:rFonts w:ascii="Arial" w:hAnsi="Arial" w:cs="Arial"/>
          <w:color w:val="000000"/>
        </w:rPr>
        <w:t>absolutely necessary</w:t>
      </w:r>
      <w:proofErr w:type="gramEnd"/>
      <w:r w:rsidRPr="00E962B7">
        <w:rPr>
          <w:rFonts w:ascii="Arial" w:hAnsi="Arial" w:cs="Arial"/>
          <w:color w:val="000000"/>
        </w:rPr>
        <w:t xml:space="preserve"> and you are assured it will reach the intended recipient without interception.</w:t>
      </w:r>
    </w:p>
    <w:p w14:paraId="4F584636" w14:textId="77777777" w:rsidR="00F040D8" w:rsidRPr="00E962B7" w:rsidRDefault="00F040D8" w:rsidP="00F040D8">
      <w:pPr>
        <w:pStyle w:val="ListParagraph"/>
        <w:numPr>
          <w:ilvl w:val="0"/>
          <w:numId w:val="8"/>
        </w:numPr>
        <w:spacing w:after="160" w:line="259" w:lineRule="auto"/>
        <w:contextualSpacing/>
        <w:jc w:val="both"/>
        <w:rPr>
          <w:rFonts w:ascii="Arial" w:hAnsi="Arial" w:cs="Arial"/>
          <w:color w:val="000000"/>
        </w:rPr>
      </w:pPr>
      <w:r w:rsidRPr="00E962B7">
        <w:rPr>
          <w:rFonts w:ascii="Arial" w:hAnsi="Arial" w:cs="Arial"/>
          <w:color w:val="000000"/>
        </w:rPr>
        <w:t>Ensure adequate postage stamps are attached.</w:t>
      </w:r>
    </w:p>
    <w:p w14:paraId="4F584637" w14:textId="77777777" w:rsidR="00F040D8" w:rsidRPr="00E962B7" w:rsidRDefault="00F040D8" w:rsidP="00F040D8">
      <w:pPr>
        <w:pStyle w:val="ListParagraph"/>
        <w:numPr>
          <w:ilvl w:val="0"/>
          <w:numId w:val="8"/>
        </w:numPr>
        <w:spacing w:after="160" w:line="259" w:lineRule="auto"/>
        <w:contextualSpacing/>
        <w:jc w:val="both"/>
        <w:rPr>
          <w:rFonts w:ascii="Arial" w:hAnsi="Arial" w:cs="Arial"/>
          <w:color w:val="000000"/>
        </w:rPr>
      </w:pPr>
      <w:r w:rsidRPr="00E962B7">
        <w:rPr>
          <w:rFonts w:ascii="Arial" w:hAnsi="Arial" w:cs="Arial"/>
          <w:color w:val="000000"/>
        </w:rPr>
        <w:t>Ensure the envelope is fastened securely.</w:t>
      </w:r>
    </w:p>
    <w:p w14:paraId="4F584638" w14:textId="77777777" w:rsidR="00F040D8" w:rsidRPr="00E962B7" w:rsidRDefault="00F040D8" w:rsidP="00F040D8">
      <w:pPr>
        <w:pStyle w:val="ListParagraph"/>
        <w:numPr>
          <w:ilvl w:val="0"/>
          <w:numId w:val="8"/>
        </w:numPr>
        <w:spacing w:after="160" w:line="259" w:lineRule="auto"/>
        <w:contextualSpacing/>
        <w:jc w:val="both"/>
        <w:rPr>
          <w:rFonts w:ascii="Arial" w:hAnsi="Arial" w:cs="Arial"/>
          <w:color w:val="000000"/>
        </w:rPr>
      </w:pPr>
      <w:r w:rsidRPr="00E962B7">
        <w:rPr>
          <w:rFonts w:ascii="Arial" w:hAnsi="Arial" w:cs="Arial"/>
          <w:color w:val="000000"/>
        </w:rPr>
        <w:t>If a postal item is returned undelivered-update records immediately to ensure no correspondence is sent to that address in the future.</w:t>
      </w:r>
    </w:p>
    <w:p w14:paraId="4F584639" w14:textId="2DFB6B64" w:rsidR="00E103A7" w:rsidRPr="00E962B7" w:rsidRDefault="00F040D8" w:rsidP="0095574B">
      <w:pPr>
        <w:pStyle w:val="ListParagraph"/>
        <w:numPr>
          <w:ilvl w:val="0"/>
          <w:numId w:val="8"/>
        </w:numPr>
        <w:spacing w:after="160" w:line="259" w:lineRule="auto"/>
        <w:contextualSpacing/>
        <w:jc w:val="both"/>
        <w:rPr>
          <w:rFonts w:ascii="Arial" w:hAnsi="Arial" w:cs="Arial"/>
          <w:color w:val="000000"/>
        </w:rPr>
      </w:pPr>
      <w:r w:rsidRPr="0E707C01">
        <w:rPr>
          <w:rFonts w:ascii="Arial" w:hAnsi="Arial" w:cs="Arial"/>
          <w:color w:val="000000" w:themeColor="text1"/>
        </w:rPr>
        <w:t>If a postal item is returned undelivered and has been opened, report this to your Line Manager as a potential data breach</w:t>
      </w:r>
      <w:r w:rsidR="00AF21D7" w:rsidRPr="0E707C01">
        <w:rPr>
          <w:rFonts w:ascii="Arial" w:hAnsi="Arial" w:cs="Arial"/>
          <w:color w:val="000000" w:themeColor="text1"/>
        </w:rPr>
        <w:t>, in line with the Data Protection Policy</w:t>
      </w:r>
      <w:r w:rsidRPr="0E707C01">
        <w:rPr>
          <w:rFonts w:ascii="Arial" w:hAnsi="Arial" w:cs="Arial"/>
          <w:color w:val="000000" w:themeColor="text1"/>
        </w:rPr>
        <w:t>.</w:t>
      </w:r>
    </w:p>
    <w:p w14:paraId="4F58463A" w14:textId="77777777" w:rsidR="007F351B" w:rsidRPr="00E962B7" w:rsidRDefault="007F351B" w:rsidP="007F351B">
      <w:pPr>
        <w:pStyle w:val="ListParagraph"/>
        <w:spacing w:after="160" w:line="259" w:lineRule="auto"/>
        <w:ind w:left="0"/>
        <w:contextualSpacing/>
        <w:jc w:val="both"/>
        <w:rPr>
          <w:rFonts w:ascii="Arial" w:hAnsi="Arial" w:cs="Arial"/>
          <w:color w:val="000000"/>
        </w:rPr>
      </w:pPr>
    </w:p>
    <w:p w14:paraId="4F58463B" w14:textId="77777777" w:rsidR="007F351B" w:rsidRDefault="007F351B" w:rsidP="007F351B">
      <w:pPr>
        <w:pStyle w:val="ListParagraph"/>
        <w:spacing w:after="160" w:line="259" w:lineRule="auto"/>
        <w:ind w:left="0"/>
        <w:contextualSpacing/>
        <w:jc w:val="both"/>
        <w:rPr>
          <w:rFonts w:ascii="Arial" w:hAnsi="Arial" w:cs="Arial"/>
          <w:color w:val="000000"/>
        </w:rPr>
      </w:pPr>
      <w:r w:rsidRPr="00E962B7">
        <w:rPr>
          <w:rFonts w:ascii="Arial" w:hAnsi="Arial" w:cs="Arial"/>
          <w:color w:val="000000"/>
        </w:rPr>
        <w:t>Further information about Data Security can also be found in the Bond Board’s Data Protection, Working from home, I.T usage and Mobile Phone policies.</w:t>
      </w:r>
    </w:p>
    <w:p w14:paraId="4F58463C" w14:textId="77777777" w:rsidR="00716C48" w:rsidRPr="00E962B7" w:rsidRDefault="00716C48" w:rsidP="007F351B">
      <w:pPr>
        <w:pStyle w:val="ListParagraph"/>
        <w:spacing w:after="160" w:line="259" w:lineRule="auto"/>
        <w:ind w:left="0"/>
        <w:contextualSpacing/>
        <w:jc w:val="both"/>
        <w:rPr>
          <w:rFonts w:ascii="Arial" w:hAnsi="Arial" w:cs="Arial"/>
          <w:color w:val="000000"/>
        </w:rPr>
      </w:pPr>
    </w:p>
    <w:p w14:paraId="4F58463D" w14:textId="77777777" w:rsidR="00CD06B7" w:rsidRPr="00E962B7" w:rsidRDefault="00AF21D7" w:rsidP="0095574B">
      <w:pPr>
        <w:jc w:val="both"/>
        <w:rPr>
          <w:rFonts w:ascii="Arial" w:hAnsi="Arial" w:cs="Arial"/>
          <w:b/>
          <w:color w:val="000000"/>
        </w:rPr>
      </w:pPr>
      <w:r w:rsidRPr="00E962B7">
        <w:rPr>
          <w:rFonts w:ascii="Arial" w:hAnsi="Arial" w:cs="Arial"/>
          <w:b/>
          <w:color w:val="000000"/>
        </w:rPr>
        <w:t>Monitoring and statistics</w:t>
      </w:r>
    </w:p>
    <w:p w14:paraId="4F58463E" w14:textId="77777777" w:rsidR="00AF21D7" w:rsidRDefault="00AF21D7" w:rsidP="0095574B">
      <w:pPr>
        <w:jc w:val="both"/>
        <w:rPr>
          <w:rFonts w:ascii="Arial" w:hAnsi="Arial" w:cs="Arial"/>
        </w:rPr>
      </w:pPr>
    </w:p>
    <w:p w14:paraId="4F58463F" w14:textId="77777777" w:rsidR="007731BD" w:rsidRDefault="00CD06B7" w:rsidP="007731BD">
      <w:pPr>
        <w:jc w:val="both"/>
        <w:rPr>
          <w:rFonts w:ascii="Arial" w:hAnsi="Arial" w:cs="Arial"/>
        </w:rPr>
      </w:pPr>
      <w:r>
        <w:rPr>
          <w:rFonts w:ascii="Arial" w:hAnsi="Arial" w:cs="Arial"/>
        </w:rPr>
        <w:t>The Bond Board is committed to the effective statistical recording of services.</w:t>
      </w:r>
      <w:r w:rsidR="007731BD">
        <w:rPr>
          <w:rFonts w:ascii="Arial" w:hAnsi="Arial" w:cs="Arial"/>
        </w:rPr>
        <w:t xml:space="preserve"> </w:t>
      </w:r>
      <w:r w:rsidR="007731BD" w:rsidRPr="005524FF">
        <w:rPr>
          <w:rFonts w:ascii="Arial" w:hAnsi="Arial" w:cs="Arial"/>
        </w:rPr>
        <w:t>It is also required to provide reports to funders to evidence the outcomes of the services it has provided.</w:t>
      </w:r>
      <w:r w:rsidRPr="005524FF">
        <w:rPr>
          <w:rFonts w:ascii="Arial" w:hAnsi="Arial" w:cs="Arial"/>
        </w:rPr>
        <w:t xml:space="preserve"> </w:t>
      </w:r>
      <w:r w:rsidR="007731BD" w:rsidRPr="005524FF">
        <w:rPr>
          <w:rFonts w:ascii="Arial" w:hAnsi="Arial" w:cs="Arial"/>
        </w:rPr>
        <w:t xml:space="preserve">Where the Bond Board proposes to use or disclose </w:t>
      </w:r>
      <w:r w:rsidR="007731BD" w:rsidRPr="005524FF">
        <w:rPr>
          <w:rFonts w:ascii="Arial" w:hAnsi="Arial" w:cs="Arial"/>
        </w:rPr>
        <w:lastRenderedPageBreak/>
        <w:t>information about service users for monitoring/reporting purposes, the express consent of that service user will be sought, unless the information is in a wholly unidentifiable form.</w:t>
      </w:r>
      <w:r w:rsidR="007731BD" w:rsidRPr="007731BD">
        <w:rPr>
          <w:rFonts w:ascii="Arial" w:hAnsi="Arial" w:cs="Arial"/>
        </w:rPr>
        <w:t xml:space="preserve"> </w:t>
      </w:r>
    </w:p>
    <w:p w14:paraId="4F584640" w14:textId="77777777" w:rsidR="005524FF" w:rsidRPr="007731BD" w:rsidRDefault="005524FF" w:rsidP="007731BD">
      <w:pPr>
        <w:jc w:val="both"/>
        <w:rPr>
          <w:rFonts w:ascii="Arial" w:hAnsi="Arial" w:cs="Arial"/>
        </w:rPr>
      </w:pPr>
    </w:p>
    <w:p w14:paraId="4F584641" w14:textId="77777777" w:rsidR="00CD06B7" w:rsidRDefault="002A667B" w:rsidP="0095574B">
      <w:pPr>
        <w:jc w:val="both"/>
        <w:rPr>
          <w:rFonts w:ascii="Arial" w:hAnsi="Arial" w:cs="Arial"/>
        </w:rPr>
      </w:pPr>
      <w:r w:rsidRPr="005524FF">
        <w:rPr>
          <w:rFonts w:ascii="Arial" w:hAnsi="Arial" w:cs="Arial"/>
        </w:rPr>
        <w:t>All staff are responsible for ensuring</w:t>
      </w:r>
      <w:r w:rsidR="00CD06B7" w:rsidRPr="005524FF">
        <w:rPr>
          <w:rFonts w:ascii="Arial" w:hAnsi="Arial" w:cs="Arial"/>
        </w:rPr>
        <w:t xml:space="preserve"> that </w:t>
      </w:r>
      <w:r w:rsidRPr="005524FF">
        <w:rPr>
          <w:rFonts w:ascii="Arial" w:hAnsi="Arial" w:cs="Arial"/>
        </w:rPr>
        <w:t xml:space="preserve">information used </w:t>
      </w:r>
      <w:r w:rsidR="00CD06B7" w:rsidRPr="005524FF">
        <w:rPr>
          <w:rFonts w:ascii="Arial" w:hAnsi="Arial" w:cs="Arial"/>
        </w:rPr>
        <w:t>for monitoring</w:t>
      </w:r>
      <w:r w:rsidRPr="005524FF">
        <w:rPr>
          <w:rFonts w:ascii="Arial" w:hAnsi="Arial" w:cs="Arial"/>
        </w:rPr>
        <w:t>/reporting on</w:t>
      </w:r>
      <w:r w:rsidR="00CD06B7" w:rsidRPr="005524FF">
        <w:rPr>
          <w:rFonts w:ascii="Arial" w:hAnsi="Arial" w:cs="Arial"/>
        </w:rPr>
        <w:t xml:space="preserve"> service delivery </w:t>
      </w:r>
      <w:r w:rsidRPr="005524FF">
        <w:rPr>
          <w:rFonts w:ascii="Arial" w:hAnsi="Arial" w:cs="Arial"/>
        </w:rPr>
        <w:t xml:space="preserve">is </w:t>
      </w:r>
      <w:r w:rsidR="00CD06B7" w:rsidRPr="005524FF">
        <w:rPr>
          <w:rFonts w:ascii="Arial" w:hAnsi="Arial" w:cs="Arial"/>
        </w:rPr>
        <w:t xml:space="preserve">produced in an anonymous form </w:t>
      </w:r>
      <w:r w:rsidRPr="005524FF">
        <w:rPr>
          <w:rFonts w:ascii="Arial" w:hAnsi="Arial" w:cs="Arial"/>
        </w:rPr>
        <w:t>and</w:t>
      </w:r>
      <w:r w:rsidR="00CD06B7" w:rsidRPr="005524FF">
        <w:rPr>
          <w:rFonts w:ascii="Arial" w:hAnsi="Arial" w:cs="Arial"/>
        </w:rPr>
        <w:t xml:space="preserve"> does not identify individuals.</w:t>
      </w:r>
    </w:p>
    <w:p w14:paraId="4F584642" w14:textId="77777777" w:rsidR="00CD06B7" w:rsidRPr="00E962B7" w:rsidRDefault="00CD06B7" w:rsidP="0095574B">
      <w:pPr>
        <w:jc w:val="both"/>
        <w:rPr>
          <w:rFonts w:ascii="Arial" w:hAnsi="Arial" w:cs="Arial"/>
          <w:b/>
          <w:color w:val="000000"/>
        </w:rPr>
      </w:pPr>
    </w:p>
    <w:p w14:paraId="4F584643" w14:textId="77777777" w:rsidR="00AF21D7" w:rsidRPr="00E962B7" w:rsidRDefault="00AF21D7" w:rsidP="0095574B">
      <w:pPr>
        <w:jc w:val="both"/>
        <w:rPr>
          <w:rFonts w:ascii="Arial" w:hAnsi="Arial" w:cs="Arial"/>
          <w:b/>
          <w:color w:val="000000"/>
        </w:rPr>
      </w:pPr>
      <w:r w:rsidRPr="00E962B7">
        <w:rPr>
          <w:rFonts w:ascii="Arial" w:hAnsi="Arial" w:cs="Arial"/>
          <w:b/>
          <w:color w:val="000000"/>
        </w:rPr>
        <w:t>Data Retention</w:t>
      </w:r>
    </w:p>
    <w:p w14:paraId="4F584644" w14:textId="77777777" w:rsidR="0014212A" w:rsidRPr="00AF21D7" w:rsidRDefault="0014212A" w:rsidP="0095574B">
      <w:pPr>
        <w:jc w:val="both"/>
        <w:rPr>
          <w:rFonts w:ascii="Arial" w:hAnsi="Arial" w:cs="Arial"/>
          <w:b/>
          <w:color w:val="FF0000"/>
        </w:rPr>
      </w:pPr>
    </w:p>
    <w:p w14:paraId="4F584645" w14:textId="77777777" w:rsidR="00CD06B7" w:rsidRDefault="00CD06B7" w:rsidP="0095574B">
      <w:pPr>
        <w:jc w:val="both"/>
        <w:rPr>
          <w:rFonts w:ascii="Arial" w:hAnsi="Arial" w:cs="Arial"/>
        </w:rPr>
      </w:pPr>
      <w:r w:rsidRPr="005524FF">
        <w:rPr>
          <w:rFonts w:ascii="Arial" w:hAnsi="Arial" w:cs="Arial"/>
        </w:rPr>
        <w:t xml:space="preserve">The Bond Board will keep all service records </w:t>
      </w:r>
      <w:r w:rsidR="0095574B" w:rsidRPr="005524FF">
        <w:rPr>
          <w:rFonts w:ascii="Arial" w:hAnsi="Arial" w:cs="Arial"/>
        </w:rPr>
        <w:t xml:space="preserve">in accordance with the timescales specified </w:t>
      </w:r>
      <w:r w:rsidR="00196179" w:rsidRPr="00E962B7">
        <w:rPr>
          <w:rFonts w:ascii="Arial" w:hAnsi="Arial" w:cs="Arial"/>
          <w:color w:val="000000"/>
        </w:rPr>
        <w:t>in the Data Protection Policy.</w:t>
      </w:r>
      <w:r w:rsidRPr="00196179">
        <w:rPr>
          <w:rFonts w:ascii="Arial" w:hAnsi="Arial" w:cs="Arial"/>
          <w:color w:val="FF0000"/>
        </w:rPr>
        <w:t xml:space="preserve"> </w:t>
      </w:r>
      <w:r w:rsidRPr="005524FF">
        <w:rPr>
          <w:rFonts w:ascii="Arial" w:hAnsi="Arial" w:cs="Arial"/>
        </w:rPr>
        <w:t>After this time records will be destroyed.</w:t>
      </w:r>
    </w:p>
    <w:p w14:paraId="4F584646" w14:textId="77777777" w:rsidR="00CD06B7" w:rsidRDefault="00CD06B7">
      <w:pPr>
        <w:rPr>
          <w:rFonts w:ascii="Arial" w:hAnsi="Arial" w:cs="Arial"/>
        </w:rPr>
      </w:pPr>
    </w:p>
    <w:p w14:paraId="4F584647" w14:textId="77777777" w:rsidR="0095574B" w:rsidRPr="0095574B" w:rsidRDefault="00CD06B7" w:rsidP="0095574B">
      <w:pPr>
        <w:pStyle w:val="Heading3"/>
      </w:pPr>
      <w:r>
        <w:t xml:space="preserve">Consent </w:t>
      </w:r>
    </w:p>
    <w:p w14:paraId="4F584648" w14:textId="77777777" w:rsidR="00CD06B7" w:rsidRDefault="00CD06B7"/>
    <w:p w14:paraId="4F584649" w14:textId="24B5078F" w:rsidR="00CD06B7" w:rsidRPr="00E962B7" w:rsidRDefault="00CD06B7" w:rsidP="0095574B">
      <w:pPr>
        <w:jc w:val="both"/>
        <w:rPr>
          <w:rFonts w:ascii="Arial" w:hAnsi="Arial" w:cs="Arial"/>
          <w:color w:val="000000"/>
        </w:rPr>
      </w:pPr>
      <w:r w:rsidRPr="00E962B7">
        <w:rPr>
          <w:rFonts w:ascii="Arial" w:hAnsi="Arial" w:cs="Arial"/>
          <w:color w:val="000000"/>
        </w:rPr>
        <w:t xml:space="preserve">It is the responsibility of staff </w:t>
      </w:r>
      <w:r w:rsidRPr="00A35A6C">
        <w:rPr>
          <w:rFonts w:ascii="Arial" w:hAnsi="Arial" w:cs="Arial"/>
        </w:rPr>
        <w:t>to ensure that express consent is obtained from service users before The Bond Board</w:t>
      </w:r>
      <w:r w:rsidR="00196179" w:rsidRPr="00A35A6C">
        <w:rPr>
          <w:rFonts w:ascii="Arial" w:hAnsi="Arial" w:cs="Arial"/>
        </w:rPr>
        <w:t xml:space="preserve"> </w:t>
      </w:r>
      <w:r w:rsidRPr="00A35A6C">
        <w:rPr>
          <w:rFonts w:ascii="Arial" w:hAnsi="Arial" w:cs="Arial"/>
        </w:rPr>
        <w:t>takes any action on their behalf</w:t>
      </w:r>
      <w:r w:rsidR="000604AE" w:rsidRPr="00A35A6C">
        <w:rPr>
          <w:rFonts w:ascii="Arial" w:hAnsi="Arial" w:cs="Arial"/>
        </w:rPr>
        <w:t xml:space="preserve"> or shares a </w:t>
      </w:r>
      <w:r w:rsidR="00D00CAC" w:rsidRPr="00A35A6C">
        <w:rPr>
          <w:rFonts w:ascii="Arial" w:hAnsi="Arial" w:cs="Arial"/>
        </w:rPr>
        <w:t>person’s</w:t>
      </w:r>
      <w:r w:rsidR="000604AE" w:rsidRPr="00A35A6C">
        <w:rPr>
          <w:rFonts w:ascii="Arial" w:hAnsi="Arial" w:cs="Arial"/>
        </w:rPr>
        <w:t xml:space="preserve"> personal data outside of the Bond Board</w:t>
      </w:r>
      <w:r w:rsidRPr="00A35A6C">
        <w:rPr>
          <w:rFonts w:ascii="Arial" w:hAnsi="Arial" w:cs="Arial"/>
        </w:rPr>
        <w:t xml:space="preserve">. </w:t>
      </w:r>
      <w:r w:rsidR="004468B0" w:rsidRPr="00A35A6C">
        <w:rPr>
          <w:rFonts w:ascii="Arial" w:hAnsi="Arial" w:cs="Arial"/>
        </w:rPr>
        <w:t xml:space="preserve"> </w:t>
      </w:r>
      <w:r w:rsidRPr="00A35A6C">
        <w:rPr>
          <w:rFonts w:ascii="Arial" w:hAnsi="Arial" w:cs="Arial"/>
        </w:rPr>
        <w:t xml:space="preserve">Where this action necessitates the completion of </w:t>
      </w:r>
      <w:r w:rsidR="00A35A6C" w:rsidRPr="00A35A6C">
        <w:rPr>
          <w:rFonts w:ascii="Arial" w:hAnsi="Arial" w:cs="Arial"/>
        </w:rPr>
        <w:t xml:space="preserve">a </w:t>
      </w:r>
      <w:r w:rsidR="00D00CAC" w:rsidRPr="00A35A6C">
        <w:rPr>
          <w:rFonts w:ascii="Arial" w:hAnsi="Arial" w:cs="Arial"/>
        </w:rPr>
        <w:t xml:space="preserve">consent </w:t>
      </w:r>
      <w:r w:rsidRPr="00A35A6C">
        <w:rPr>
          <w:rFonts w:ascii="Arial" w:hAnsi="Arial" w:cs="Arial"/>
        </w:rPr>
        <w:t>form</w:t>
      </w:r>
      <w:r w:rsidRPr="00E962B7">
        <w:rPr>
          <w:rFonts w:ascii="Arial" w:hAnsi="Arial" w:cs="Arial"/>
          <w:color w:val="000000"/>
        </w:rPr>
        <w:t xml:space="preserve">, a copy of this </w:t>
      </w:r>
      <w:r w:rsidR="00B7496E" w:rsidRPr="00E962B7">
        <w:rPr>
          <w:rFonts w:ascii="Arial" w:hAnsi="Arial" w:cs="Arial"/>
          <w:color w:val="000000"/>
        </w:rPr>
        <w:t xml:space="preserve">should be </w:t>
      </w:r>
      <w:r w:rsidRPr="00E962B7">
        <w:rPr>
          <w:rFonts w:ascii="Arial" w:hAnsi="Arial" w:cs="Arial"/>
          <w:color w:val="000000"/>
        </w:rPr>
        <w:t>kept on file</w:t>
      </w:r>
      <w:r w:rsidR="00B7496E" w:rsidRPr="00E962B7">
        <w:rPr>
          <w:rFonts w:ascii="Arial" w:hAnsi="Arial" w:cs="Arial"/>
          <w:color w:val="000000"/>
        </w:rPr>
        <w:t xml:space="preserve"> and noted on any relevant IT systems which record consent, such as Lamplight</w:t>
      </w:r>
      <w:r w:rsidRPr="00E962B7">
        <w:rPr>
          <w:rFonts w:ascii="Arial" w:hAnsi="Arial" w:cs="Arial"/>
          <w:color w:val="000000"/>
        </w:rPr>
        <w:t>.</w:t>
      </w:r>
      <w:r w:rsidR="0095574B" w:rsidRPr="00E962B7">
        <w:rPr>
          <w:rFonts w:ascii="Arial" w:hAnsi="Arial" w:cs="Arial"/>
          <w:color w:val="000000"/>
        </w:rPr>
        <w:t xml:space="preserve"> Services users should be advised of their right to withdraw consent at any time</w:t>
      </w:r>
      <w:r w:rsidR="0019010D" w:rsidRPr="00E962B7">
        <w:rPr>
          <w:rFonts w:ascii="Arial" w:hAnsi="Arial" w:cs="Arial"/>
          <w:color w:val="000000"/>
        </w:rPr>
        <w:t xml:space="preserve">, any consequences of doing so </w:t>
      </w:r>
      <w:r w:rsidR="00196179" w:rsidRPr="00E962B7">
        <w:rPr>
          <w:rFonts w:ascii="Arial" w:hAnsi="Arial" w:cs="Arial"/>
          <w:color w:val="000000"/>
        </w:rPr>
        <w:t xml:space="preserve">and </w:t>
      </w:r>
      <w:r w:rsidR="00AF21D7" w:rsidRPr="00E962B7">
        <w:rPr>
          <w:rFonts w:ascii="Arial" w:hAnsi="Arial" w:cs="Arial"/>
          <w:color w:val="000000"/>
        </w:rPr>
        <w:t xml:space="preserve">be </w:t>
      </w:r>
      <w:r w:rsidR="00196179" w:rsidRPr="00E962B7">
        <w:rPr>
          <w:rFonts w:ascii="Arial" w:hAnsi="Arial" w:cs="Arial"/>
          <w:color w:val="000000"/>
        </w:rPr>
        <w:t xml:space="preserve">directed to the </w:t>
      </w:r>
      <w:r w:rsidR="0019010D" w:rsidRPr="00E962B7">
        <w:rPr>
          <w:rFonts w:ascii="Arial" w:hAnsi="Arial" w:cs="Arial"/>
          <w:color w:val="000000"/>
        </w:rPr>
        <w:t>Privacy</w:t>
      </w:r>
      <w:r w:rsidR="00196179" w:rsidRPr="00E962B7">
        <w:rPr>
          <w:rFonts w:ascii="Arial" w:hAnsi="Arial" w:cs="Arial"/>
          <w:color w:val="000000"/>
        </w:rPr>
        <w:t xml:space="preserve"> Notice which outlines their rights in respect of Data Protection</w:t>
      </w:r>
      <w:r w:rsidR="0095574B" w:rsidRPr="00E962B7">
        <w:rPr>
          <w:rFonts w:ascii="Arial" w:hAnsi="Arial" w:cs="Arial"/>
          <w:color w:val="000000"/>
        </w:rPr>
        <w:t>.</w:t>
      </w:r>
    </w:p>
    <w:p w14:paraId="4F58464A" w14:textId="77777777" w:rsidR="00B7496E" w:rsidRPr="00492913" w:rsidRDefault="00B7496E" w:rsidP="00B7496E">
      <w:pPr>
        <w:jc w:val="both"/>
      </w:pPr>
    </w:p>
    <w:p w14:paraId="4F58464B" w14:textId="4FEFAE73" w:rsidR="00B7496E" w:rsidRPr="00376116" w:rsidRDefault="00B7496E" w:rsidP="00B7496E">
      <w:pPr>
        <w:pStyle w:val="ListParagraph"/>
        <w:spacing w:after="160" w:line="259" w:lineRule="auto"/>
        <w:ind w:left="0"/>
        <w:contextualSpacing/>
        <w:jc w:val="both"/>
        <w:rPr>
          <w:rFonts w:ascii="Arial" w:hAnsi="Arial" w:cs="Arial"/>
          <w:strike/>
          <w:color w:val="000000"/>
        </w:rPr>
      </w:pPr>
      <w:r w:rsidRPr="00E962B7">
        <w:rPr>
          <w:rFonts w:ascii="Arial" w:hAnsi="Arial" w:cs="Arial"/>
          <w:color w:val="000000"/>
        </w:rPr>
        <w:t xml:space="preserve">Staff must be aware that consent from the individual must be specific to the reason you have asked for it. For example, a service user or landlord may have given consent for you to contact to inform them above Bond Board events or to send them a </w:t>
      </w:r>
      <w:r w:rsidRPr="00A35A6C">
        <w:rPr>
          <w:rFonts w:ascii="Arial" w:hAnsi="Arial" w:cs="Arial"/>
        </w:rPr>
        <w:t xml:space="preserve">newsletter in the post. This does not mean they have given their specific consent for other uses of their data, such </w:t>
      </w:r>
      <w:r w:rsidR="00376116" w:rsidRPr="00A35A6C">
        <w:rPr>
          <w:rFonts w:ascii="Arial" w:hAnsi="Arial" w:cs="Arial"/>
        </w:rPr>
        <w:t xml:space="preserve">sharing it with a </w:t>
      </w:r>
      <w:proofErr w:type="gramStart"/>
      <w:r w:rsidR="00376116" w:rsidRPr="00A35A6C">
        <w:rPr>
          <w:rFonts w:ascii="Arial" w:hAnsi="Arial" w:cs="Arial"/>
        </w:rPr>
        <w:t>third party</w:t>
      </w:r>
      <w:proofErr w:type="gramEnd"/>
      <w:r w:rsidR="00376116" w:rsidRPr="00A35A6C">
        <w:rPr>
          <w:rFonts w:ascii="Arial" w:hAnsi="Arial" w:cs="Arial"/>
        </w:rPr>
        <w:t xml:space="preserve"> organisation.</w:t>
      </w:r>
    </w:p>
    <w:p w14:paraId="4F58464C" w14:textId="77777777" w:rsidR="00B7496E" w:rsidRPr="00E962B7" w:rsidRDefault="00B7496E" w:rsidP="00B7496E">
      <w:pPr>
        <w:pStyle w:val="ListParagraph"/>
        <w:spacing w:after="160" w:line="259" w:lineRule="auto"/>
        <w:ind w:left="0"/>
        <w:contextualSpacing/>
        <w:jc w:val="both"/>
        <w:rPr>
          <w:color w:val="000000"/>
        </w:rPr>
      </w:pPr>
    </w:p>
    <w:p w14:paraId="4F58464D" w14:textId="77777777" w:rsidR="0002667F" w:rsidRPr="00E962B7" w:rsidRDefault="00B7496E" w:rsidP="007F351B">
      <w:pPr>
        <w:pStyle w:val="ListParagraph"/>
        <w:spacing w:after="160" w:line="259" w:lineRule="auto"/>
        <w:ind w:left="0"/>
        <w:contextualSpacing/>
        <w:jc w:val="both"/>
        <w:rPr>
          <w:rFonts w:ascii="Arial" w:hAnsi="Arial" w:cs="Arial"/>
          <w:color w:val="000000"/>
        </w:rPr>
      </w:pPr>
      <w:r w:rsidRPr="00E962B7">
        <w:rPr>
          <w:rFonts w:ascii="Arial" w:hAnsi="Arial" w:cs="Arial"/>
          <w:color w:val="000000"/>
        </w:rPr>
        <w:t xml:space="preserve">Staff must be aware that consent is gained from an individual about their personal data. This is particularly relevant when working with a couple or those with non-dependants as consent for </w:t>
      </w:r>
      <w:proofErr w:type="gramStart"/>
      <w:r w:rsidRPr="00E962B7">
        <w:rPr>
          <w:rFonts w:ascii="Arial" w:hAnsi="Arial" w:cs="Arial"/>
          <w:color w:val="000000"/>
        </w:rPr>
        <w:t>each individual</w:t>
      </w:r>
      <w:proofErr w:type="gramEnd"/>
      <w:r w:rsidRPr="00E962B7">
        <w:rPr>
          <w:rFonts w:ascii="Arial" w:hAnsi="Arial" w:cs="Arial"/>
          <w:color w:val="000000"/>
        </w:rPr>
        <w:t xml:space="preserve"> must be obtained and recorded. Consent in respect of children’s data, must be obtained from their parent or legal guardian.</w:t>
      </w:r>
    </w:p>
    <w:p w14:paraId="4F58464E" w14:textId="77777777" w:rsidR="0002667F" w:rsidRDefault="0002667F" w:rsidP="0095574B">
      <w:pPr>
        <w:jc w:val="both"/>
        <w:rPr>
          <w:rFonts w:ascii="Arial" w:hAnsi="Arial" w:cs="Arial"/>
        </w:rPr>
      </w:pPr>
      <w:r w:rsidRPr="005524FF">
        <w:rPr>
          <w:rFonts w:ascii="Arial" w:hAnsi="Arial" w:cs="Arial"/>
        </w:rPr>
        <w:t>Where a service user refuses to consent to a specific disclosure or withdraws consent, this should be clearly documented in their case file and any appropriate Bond Board I.T systems that are being used to record client data.</w:t>
      </w:r>
    </w:p>
    <w:p w14:paraId="4F58464F" w14:textId="77777777" w:rsidR="004F5515" w:rsidRPr="004F5515" w:rsidRDefault="004F5515" w:rsidP="0095574B">
      <w:pPr>
        <w:jc w:val="both"/>
        <w:rPr>
          <w:rFonts w:ascii="Arial" w:hAnsi="Arial" w:cs="Arial"/>
        </w:rPr>
      </w:pPr>
    </w:p>
    <w:p w14:paraId="4F584650" w14:textId="77777777" w:rsidR="004F5515" w:rsidRDefault="004F5515" w:rsidP="004F5515">
      <w:pPr>
        <w:jc w:val="both"/>
        <w:rPr>
          <w:rFonts w:ascii="Arial" w:hAnsi="Arial" w:cs="Arial"/>
        </w:rPr>
      </w:pPr>
      <w:r w:rsidRPr="005524FF">
        <w:rPr>
          <w:rFonts w:ascii="Arial" w:hAnsi="Arial" w:cs="Arial"/>
        </w:rPr>
        <w:t>Where it is planned to involve staff from other agencies this should first be discussed with the service user and their explicit consent sought. When other agencies request information about service users, staff should seek the consent of the service user before disclosing any information or confirming the service user is known to The Bond Board.</w:t>
      </w:r>
      <w:r w:rsidRPr="004F5515">
        <w:rPr>
          <w:rFonts w:ascii="Arial" w:hAnsi="Arial" w:cs="Arial"/>
        </w:rPr>
        <w:t xml:space="preserve">  </w:t>
      </w:r>
    </w:p>
    <w:p w14:paraId="4F584651" w14:textId="77777777" w:rsidR="00CB44E9" w:rsidRDefault="00CB44E9" w:rsidP="004F5515">
      <w:pPr>
        <w:jc w:val="both"/>
        <w:rPr>
          <w:rFonts w:ascii="Arial" w:hAnsi="Arial" w:cs="Arial"/>
        </w:rPr>
      </w:pPr>
    </w:p>
    <w:p w14:paraId="4F584652" w14:textId="4171BB28" w:rsidR="00CB44E9" w:rsidRPr="000410ED" w:rsidRDefault="00CB44E9" w:rsidP="004F5515">
      <w:pPr>
        <w:jc w:val="both"/>
        <w:rPr>
          <w:rFonts w:ascii="Arial" w:hAnsi="Arial" w:cs="Arial"/>
          <w:b/>
          <w:bCs/>
        </w:rPr>
      </w:pPr>
      <w:r w:rsidRPr="0E707C01">
        <w:rPr>
          <w:rFonts w:ascii="Arial" w:hAnsi="Arial" w:cs="Arial"/>
        </w:rPr>
        <w:t xml:space="preserve">If a service user refuses to consent to disclosure of personal information, the information cannot be disclosed, unless, exceptionally, a justification other than consent exists.  Staff should discuss with the service user why disclosure may </w:t>
      </w:r>
      <w:r w:rsidRPr="0E707C01">
        <w:rPr>
          <w:rFonts w:ascii="Arial" w:hAnsi="Arial" w:cs="Arial"/>
        </w:rPr>
        <w:lastRenderedPageBreak/>
        <w:t xml:space="preserve">be in the service user’s best interests and the potential disadvantages that may arise without it.  </w:t>
      </w:r>
      <w:r w:rsidRPr="00A35A6C">
        <w:rPr>
          <w:rFonts w:ascii="Arial" w:hAnsi="Arial" w:cs="Arial"/>
          <w:b/>
          <w:bCs/>
        </w:rPr>
        <w:t>Unless there is an overriding public interest o</w:t>
      </w:r>
      <w:r w:rsidR="0019010D" w:rsidRPr="00A35A6C">
        <w:rPr>
          <w:rFonts w:ascii="Arial" w:hAnsi="Arial" w:cs="Arial"/>
          <w:b/>
          <w:bCs/>
        </w:rPr>
        <w:t>r</w:t>
      </w:r>
      <w:r w:rsidRPr="00A35A6C">
        <w:rPr>
          <w:rFonts w:ascii="Arial" w:hAnsi="Arial" w:cs="Arial"/>
          <w:b/>
          <w:bCs/>
        </w:rPr>
        <w:t xml:space="preserve"> legal justification (to be determined by the </w:t>
      </w:r>
      <w:r w:rsidR="00233939" w:rsidRPr="00A35A6C">
        <w:rPr>
          <w:rFonts w:ascii="Arial" w:hAnsi="Arial" w:cs="Arial"/>
          <w:b/>
          <w:bCs/>
        </w:rPr>
        <w:t>Op</w:t>
      </w:r>
      <w:r w:rsidR="000410ED" w:rsidRPr="00A35A6C">
        <w:rPr>
          <w:rFonts w:ascii="Arial" w:hAnsi="Arial" w:cs="Arial"/>
          <w:b/>
          <w:bCs/>
        </w:rPr>
        <w:t>erational M</w:t>
      </w:r>
      <w:r w:rsidR="00233939" w:rsidRPr="00A35A6C">
        <w:rPr>
          <w:rFonts w:ascii="Arial" w:hAnsi="Arial" w:cs="Arial"/>
          <w:b/>
          <w:bCs/>
        </w:rPr>
        <w:t>anagers, S</w:t>
      </w:r>
      <w:r w:rsidR="000410ED" w:rsidRPr="00A35A6C">
        <w:rPr>
          <w:rFonts w:ascii="Arial" w:hAnsi="Arial" w:cs="Arial"/>
          <w:b/>
          <w:bCs/>
        </w:rPr>
        <w:t xml:space="preserve">enior </w:t>
      </w:r>
      <w:r w:rsidR="00233939" w:rsidRPr="00A35A6C">
        <w:rPr>
          <w:rFonts w:ascii="Arial" w:hAnsi="Arial" w:cs="Arial"/>
          <w:b/>
          <w:bCs/>
        </w:rPr>
        <w:t>L</w:t>
      </w:r>
      <w:r w:rsidR="000410ED" w:rsidRPr="00A35A6C">
        <w:rPr>
          <w:rFonts w:ascii="Arial" w:hAnsi="Arial" w:cs="Arial"/>
          <w:b/>
          <w:bCs/>
        </w:rPr>
        <w:t xml:space="preserve">eadership </w:t>
      </w:r>
      <w:r w:rsidR="00233939" w:rsidRPr="00A35A6C">
        <w:rPr>
          <w:rFonts w:ascii="Arial" w:hAnsi="Arial" w:cs="Arial"/>
          <w:b/>
          <w:bCs/>
        </w:rPr>
        <w:t>T</w:t>
      </w:r>
      <w:r w:rsidR="000410ED" w:rsidRPr="00A35A6C">
        <w:rPr>
          <w:rFonts w:ascii="Arial" w:hAnsi="Arial" w:cs="Arial"/>
          <w:b/>
          <w:bCs/>
        </w:rPr>
        <w:t>eam</w:t>
      </w:r>
      <w:r w:rsidR="00233939" w:rsidRPr="00A35A6C">
        <w:rPr>
          <w:rFonts w:ascii="Arial" w:hAnsi="Arial" w:cs="Arial"/>
          <w:b/>
          <w:bCs/>
        </w:rPr>
        <w:t xml:space="preserve"> </w:t>
      </w:r>
      <w:r w:rsidR="000410ED" w:rsidRPr="00A35A6C">
        <w:rPr>
          <w:rFonts w:ascii="Arial" w:hAnsi="Arial" w:cs="Arial"/>
          <w:b/>
          <w:bCs/>
        </w:rPr>
        <w:t>or</w:t>
      </w:r>
      <w:r w:rsidR="00233939" w:rsidRPr="00A35A6C">
        <w:rPr>
          <w:rFonts w:ascii="Arial" w:hAnsi="Arial" w:cs="Arial"/>
          <w:b/>
          <w:bCs/>
        </w:rPr>
        <w:t xml:space="preserve"> </w:t>
      </w:r>
      <w:r w:rsidRPr="00A35A6C">
        <w:rPr>
          <w:rFonts w:ascii="Arial" w:hAnsi="Arial" w:cs="Arial"/>
          <w:b/>
          <w:bCs/>
        </w:rPr>
        <w:t xml:space="preserve">Chief </w:t>
      </w:r>
      <w:r w:rsidR="00233939" w:rsidRPr="00A35A6C">
        <w:rPr>
          <w:rFonts w:ascii="Arial" w:hAnsi="Arial" w:cs="Arial"/>
          <w:b/>
          <w:bCs/>
        </w:rPr>
        <w:t xml:space="preserve">Executive </w:t>
      </w:r>
      <w:r w:rsidRPr="00A35A6C">
        <w:rPr>
          <w:rFonts w:ascii="Arial" w:hAnsi="Arial" w:cs="Arial"/>
          <w:b/>
          <w:bCs/>
        </w:rPr>
        <w:t>Office</w:t>
      </w:r>
      <w:r w:rsidR="000144E9" w:rsidRPr="00A35A6C">
        <w:rPr>
          <w:rFonts w:ascii="Arial" w:hAnsi="Arial" w:cs="Arial"/>
          <w:b/>
          <w:bCs/>
        </w:rPr>
        <w:t>r</w:t>
      </w:r>
      <w:r w:rsidRPr="00A35A6C">
        <w:rPr>
          <w:rFonts w:ascii="Arial" w:hAnsi="Arial" w:cs="Arial"/>
          <w:b/>
          <w:bCs/>
        </w:rPr>
        <w:t xml:space="preserve"> information should not be disclosed on a “best interests” basis </w:t>
      </w:r>
      <w:r w:rsidRPr="000410ED">
        <w:rPr>
          <w:rFonts w:ascii="Arial" w:hAnsi="Arial" w:cs="Arial"/>
          <w:b/>
          <w:bCs/>
        </w:rPr>
        <w:t>where an adult with capacity refuses to consent to disclosure.</w:t>
      </w:r>
    </w:p>
    <w:p w14:paraId="4F584653" w14:textId="77777777" w:rsidR="00CB44E9" w:rsidRDefault="00CB44E9" w:rsidP="004F5515">
      <w:pPr>
        <w:jc w:val="both"/>
        <w:rPr>
          <w:rFonts w:ascii="Arial" w:hAnsi="Arial" w:cs="Arial"/>
        </w:rPr>
      </w:pPr>
    </w:p>
    <w:p w14:paraId="4F584654" w14:textId="558ABC1C" w:rsidR="005F6EB0" w:rsidRPr="005524FF" w:rsidRDefault="00EE67FD" w:rsidP="004F5515">
      <w:pPr>
        <w:jc w:val="both"/>
        <w:rPr>
          <w:rFonts w:ascii="Arial" w:hAnsi="Arial" w:cs="Arial"/>
        </w:rPr>
      </w:pPr>
      <w:r w:rsidRPr="0E707C01">
        <w:rPr>
          <w:rFonts w:ascii="Arial" w:hAnsi="Arial" w:cs="Arial"/>
        </w:rPr>
        <w:t>In any circumstance</w:t>
      </w:r>
      <w:r w:rsidR="00CB44E9" w:rsidRPr="0E707C01">
        <w:rPr>
          <w:rFonts w:ascii="Arial" w:hAnsi="Arial" w:cs="Arial"/>
        </w:rPr>
        <w:t xml:space="preserve"> </w:t>
      </w:r>
      <w:r w:rsidRPr="0E707C01">
        <w:rPr>
          <w:rFonts w:ascii="Arial" w:hAnsi="Arial" w:cs="Arial"/>
        </w:rPr>
        <w:t>where an</w:t>
      </w:r>
      <w:r w:rsidR="00CB44E9" w:rsidRPr="0E707C01">
        <w:rPr>
          <w:rFonts w:ascii="Arial" w:hAnsi="Arial" w:cs="Arial"/>
        </w:rPr>
        <w:t xml:space="preserve"> employee believes an adult is incapable of givin</w:t>
      </w:r>
      <w:r w:rsidR="00B21854" w:rsidRPr="0E707C01">
        <w:rPr>
          <w:rFonts w:ascii="Arial" w:hAnsi="Arial" w:cs="Arial"/>
        </w:rPr>
        <w:t>g or withholding consent</w:t>
      </w:r>
      <w:r w:rsidRPr="0E707C01">
        <w:rPr>
          <w:rFonts w:ascii="Arial" w:hAnsi="Arial" w:cs="Arial"/>
        </w:rPr>
        <w:t xml:space="preserve"> due to lack of mental capacity</w:t>
      </w:r>
      <w:r w:rsidR="00B21854" w:rsidRPr="0E707C01">
        <w:rPr>
          <w:rFonts w:ascii="Arial" w:hAnsi="Arial" w:cs="Arial"/>
        </w:rPr>
        <w:t xml:space="preserve"> and an employee</w:t>
      </w:r>
      <w:r w:rsidR="00CB44E9" w:rsidRPr="0E707C01">
        <w:rPr>
          <w:rFonts w:ascii="Arial" w:hAnsi="Arial" w:cs="Arial"/>
        </w:rPr>
        <w:t xml:space="preserve"> believe</w:t>
      </w:r>
      <w:r w:rsidR="00B21854" w:rsidRPr="0E707C01">
        <w:rPr>
          <w:rFonts w:ascii="Arial" w:hAnsi="Arial" w:cs="Arial"/>
        </w:rPr>
        <w:t>s</w:t>
      </w:r>
      <w:r w:rsidR="00CB44E9" w:rsidRPr="0E707C01">
        <w:rPr>
          <w:rFonts w:ascii="Arial" w:hAnsi="Arial" w:cs="Arial"/>
        </w:rPr>
        <w:t xml:space="preserve"> they are at risk, for example </w:t>
      </w:r>
      <w:r w:rsidRPr="0E707C01">
        <w:rPr>
          <w:rFonts w:ascii="Arial" w:hAnsi="Arial" w:cs="Arial"/>
        </w:rPr>
        <w:t>a victim</w:t>
      </w:r>
      <w:r w:rsidR="00CB44E9" w:rsidRPr="0E707C01">
        <w:rPr>
          <w:rFonts w:ascii="Arial" w:hAnsi="Arial" w:cs="Arial"/>
        </w:rPr>
        <w:t xml:space="preserve"> of neglect or of emotional or physical abuse or at risk of suicide</w:t>
      </w:r>
      <w:r w:rsidR="004305BE" w:rsidRPr="0E707C01">
        <w:rPr>
          <w:rFonts w:ascii="Arial" w:hAnsi="Arial" w:cs="Arial"/>
        </w:rPr>
        <w:t xml:space="preserve">, </w:t>
      </w:r>
      <w:r w:rsidRPr="0E707C01">
        <w:rPr>
          <w:rFonts w:ascii="Arial" w:hAnsi="Arial" w:cs="Arial"/>
        </w:rPr>
        <w:t>any breach</w:t>
      </w:r>
      <w:r w:rsidR="00CB44E9" w:rsidRPr="0E707C01">
        <w:rPr>
          <w:rFonts w:ascii="Arial" w:hAnsi="Arial" w:cs="Arial"/>
        </w:rPr>
        <w:t xml:space="preserve"> of confidentiality must be discussed in advance </w:t>
      </w:r>
      <w:r w:rsidR="00EE36C0">
        <w:rPr>
          <w:rFonts w:ascii="Arial" w:hAnsi="Arial" w:cs="Arial"/>
        </w:rPr>
        <w:t xml:space="preserve">with an Operational Manager, </w:t>
      </w:r>
      <w:r w:rsidR="00C4739A">
        <w:rPr>
          <w:rFonts w:ascii="Arial" w:hAnsi="Arial" w:cs="Arial"/>
        </w:rPr>
        <w:t xml:space="preserve">Senior Leadership Team or the Chief Executive </w:t>
      </w:r>
      <w:r w:rsidR="00CB44E9" w:rsidRPr="0E707C01">
        <w:rPr>
          <w:rFonts w:ascii="Arial" w:hAnsi="Arial" w:cs="Arial"/>
        </w:rPr>
        <w:t>Office</w:t>
      </w:r>
      <w:r w:rsidR="00C4739A">
        <w:rPr>
          <w:rFonts w:ascii="Arial" w:hAnsi="Arial" w:cs="Arial"/>
        </w:rPr>
        <w:t>r.</w:t>
      </w:r>
    </w:p>
    <w:p w14:paraId="4F584655" w14:textId="77777777" w:rsidR="005F6EB0" w:rsidRPr="005F6EB0" w:rsidRDefault="005F6EB0" w:rsidP="0E707C01">
      <w:pPr>
        <w:jc w:val="both"/>
        <w:rPr>
          <w:rFonts w:ascii="Arial" w:hAnsi="Arial" w:cs="Arial"/>
        </w:rPr>
      </w:pPr>
    </w:p>
    <w:p w14:paraId="4F584656" w14:textId="64DCD993" w:rsidR="004F5515" w:rsidRDefault="00603281" w:rsidP="0095574B">
      <w:pPr>
        <w:jc w:val="both"/>
        <w:rPr>
          <w:rFonts w:ascii="Arial" w:hAnsi="Arial" w:cs="Arial"/>
        </w:rPr>
      </w:pPr>
      <w:r w:rsidRPr="00885283">
        <w:rPr>
          <w:rFonts w:ascii="Arial" w:hAnsi="Arial" w:cs="Arial"/>
        </w:rPr>
        <w:t xml:space="preserve">An Operational Manager, Senior Leadership Team or the Chief Executive Officer </w:t>
      </w:r>
      <w:r w:rsidR="005F6EB0" w:rsidRPr="00885283">
        <w:rPr>
          <w:rFonts w:ascii="Arial" w:hAnsi="Arial" w:cs="Arial"/>
        </w:rPr>
        <w:t xml:space="preserve">will </w:t>
      </w:r>
      <w:r w:rsidR="005F6EB0" w:rsidRPr="0E707C01">
        <w:rPr>
          <w:rFonts w:ascii="Arial" w:hAnsi="Arial" w:cs="Arial"/>
        </w:rPr>
        <w:t>also make all decision</w:t>
      </w:r>
      <w:r w:rsidR="004305BE" w:rsidRPr="0E707C01">
        <w:rPr>
          <w:rFonts w:ascii="Arial" w:hAnsi="Arial" w:cs="Arial"/>
        </w:rPr>
        <w:t>s</w:t>
      </w:r>
      <w:r w:rsidR="005F6EB0" w:rsidRPr="0E707C01">
        <w:rPr>
          <w:rFonts w:ascii="Arial" w:hAnsi="Arial" w:cs="Arial"/>
        </w:rPr>
        <w:t xml:space="preserve"> in respect of breaching confidentiality w</w:t>
      </w:r>
      <w:r w:rsidR="00CB44E9" w:rsidRPr="0E707C01">
        <w:rPr>
          <w:rFonts w:ascii="Arial" w:hAnsi="Arial" w:cs="Arial"/>
        </w:rPr>
        <w:t xml:space="preserve">here </w:t>
      </w:r>
      <w:r w:rsidR="005F6EB0" w:rsidRPr="0E707C01">
        <w:rPr>
          <w:rFonts w:ascii="Arial" w:hAnsi="Arial" w:cs="Arial"/>
        </w:rPr>
        <w:t>an employee has concerns about the sa</w:t>
      </w:r>
      <w:r w:rsidR="00EE67FD" w:rsidRPr="0E707C01">
        <w:rPr>
          <w:rFonts w:ascii="Arial" w:hAnsi="Arial" w:cs="Arial"/>
        </w:rPr>
        <w:t xml:space="preserve">fety or protection of a child </w:t>
      </w:r>
      <w:r w:rsidR="00CB44E9" w:rsidRPr="0E707C01">
        <w:rPr>
          <w:rFonts w:ascii="Arial" w:hAnsi="Arial" w:cs="Arial"/>
        </w:rPr>
        <w:t>and where it is impracticable or inappropriate to obtain consent from the person with parental responsibilit</w:t>
      </w:r>
      <w:r w:rsidR="005F6EB0" w:rsidRPr="0E707C01">
        <w:rPr>
          <w:rFonts w:ascii="Arial" w:hAnsi="Arial" w:cs="Arial"/>
        </w:rPr>
        <w:t>y.</w:t>
      </w:r>
    </w:p>
    <w:p w14:paraId="4F584657" w14:textId="77777777" w:rsidR="00CD06B7" w:rsidRDefault="00CD06B7" w:rsidP="0095574B">
      <w:pPr>
        <w:jc w:val="both"/>
        <w:rPr>
          <w:rFonts w:ascii="Arial" w:hAnsi="Arial" w:cs="Arial"/>
        </w:rPr>
      </w:pPr>
    </w:p>
    <w:p w14:paraId="4F584658" w14:textId="5AEAB8A4" w:rsidR="00CD06B7" w:rsidRPr="00885283" w:rsidRDefault="00CD06B7" w:rsidP="0095574B">
      <w:pPr>
        <w:jc w:val="both"/>
        <w:rPr>
          <w:rFonts w:ascii="Arial" w:hAnsi="Arial" w:cs="Arial"/>
        </w:rPr>
      </w:pPr>
      <w:r>
        <w:rPr>
          <w:rFonts w:ascii="Arial" w:hAnsi="Arial" w:cs="Arial"/>
        </w:rPr>
        <w:t xml:space="preserve">Members of staff will </w:t>
      </w:r>
      <w:r w:rsidRPr="00885283">
        <w:rPr>
          <w:rFonts w:ascii="Arial" w:hAnsi="Arial" w:cs="Arial"/>
        </w:rPr>
        <w:t xml:space="preserve">ensure they record on </w:t>
      </w:r>
      <w:r w:rsidR="00603281" w:rsidRPr="00885283">
        <w:rPr>
          <w:rFonts w:ascii="Arial" w:hAnsi="Arial" w:cs="Arial"/>
        </w:rPr>
        <w:t xml:space="preserve">the case </w:t>
      </w:r>
      <w:r w:rsidRPr="00885283">
        <w:rPr>
          <w:rFonts w:ascii="Arial" w:hAnsi="Arial" w:cs="Arial"/>
        </w:rPr>
        <w:t>file acceptable methods of contacting service users</w:t>
      </w:r>
      <w:r w:rsidR="00EE67FD" w:rsidRPr="00885283">
        <w:rPr>
          <w:rFonts w:ascii="Arial" w:hAnsi="Arial" w:cs="Arial"/>
        </w:rPr>
        <w:t>,</w:t>
      </w:r>
      <w:r w:rsidRPr="00885283">
        <w:rPr>
          <w:rFonts w:ascii="Arial" w:hAnsi="Arial" w:cs="Arial"/>
        </w:rPr>
        <w:t xml:space="preserve"> e.g. by phone or letter, home or work </w:t>
      </w:r>
      <w:r w:rsidR="004F5515" w:rsidRPr="00885283">
        <w:rPr>
          <w:rFonts w:ascii="Arial" w:hAnsi="Arial" w:cs="Arial"/>
        </w:rPr>
        <w:t>etc., to avoid breaching confidentiality.</w:t>
      </w:r>
    </w:p>
    <w:p w14:paraId="4F584659" w14:textId="77777777" w:rsidR="0095574B" w:rsidRPr="00885283" w:rsidRDefault="0095574B" w:rsidP="0002473B">
      <w:pPr>
        <w:jc w:val="both"/>
        <w:rPr>
          <w:rFonts w:ascii="Arial" w:hAnsi="Arial" w:cs="Arial"/>
        </w:rPr>
      </w:pPr>
    </w:p>
    <w:p w14:paraId="4F58465A" w14:textId="286FE800" w:rsidR="00CD06B7" w:rsidRPr="00885283" w:rsidRDefault="00AC3318" w:rsidP="0002473B">
      <w:pPr>
        <w:jc w:val="both"/>
        <w:rPr>
          <w:rFonts w:ascii="Arial" w:hAnsi="Arial" w:cs="Arial"/>
        </w:rPr>
      </w:pPr>
      <w:r w:rsidRPr="00885283">
        <w:rPr>
          <w:rFonts w:ascii="Arial" w:hAnsi="Arial" w:cs="Arial"/>
        </w:rPr>
        <w:t xml:space="preserve">Information will be displayed in </w:t>
      </w:r>
      <w:r w:rsidR="0051348E" w:rsidRPr="00885283">
        <w:rPr>
          <w:rFonts w:ascii="Arial" w:hAnsi="Arial" w:cs="Arial"/>
        </w:rPr>
        <w:t xml:space="preserve">publicly accessible areas of the Rochdale office </w:t>
      </w:r>
      <w:r w:rsidRPr="00885283">
        <w:rPr>
          <w:rFonts w:ascii="Arial" w:hAnsi="Arial" w:cs="Arial"/>
        </w:rPr>
        <w:t>advising all clients of the existence of this policy and their right to request a copy of it</w:t>
      </w:r>
      <w:r w:rsidR="00196179" w:rsidRPr="00885283">
        <w:rPr>
          <w:rFonts w:ascii="Arial" w:hAnsi="Arial" w:cs="Arial"/>
        </w:rPr>
        <w:t xml:space="preserve">, along with </w:t>
      </w:r>
      <w:r w:rsidR="00AA19AE" w:rsidRPr="00885283">
        <w:rPr>
          <w:rFonts w:ascii="Arial" w:hAnsi="Arial" w:cs="Arial"/>
        </w:rPr>
        <w:t xml:space="preserve">information about our Service User </w:t>
      </w:r>
      <w:r w:rsidR="00196179" w:rsidRPr="00885283">
        <w:rPr>
          <w:rFonts w:ascii="Arial" w:hAnsi="Arial" w:cs="Arial"/>
        </w:rPr>
        <w:t>Privacy Notice in respect of Data Protection rights</w:t>
      </w:r>
      <w:r w:rsidRPr="00885283">
        <w:rPr>
          <w:rFonts w:ascii="Arial" w:hAnsi="Arial" w:cs="Arial"/>
        </w:rPr>
        <w:t>.</w:t>
      </w:r>
      <w:r w:rsidR="0051348E" w:rsidRPr="00885283">
        <w:rPr>
          <w:rFonts w:ascii="Arial" w:hAnsi="Arial" w:cs="Arial"/>
        </w:rPr>
        <w:t xml:space="preserve"> </w:t>
      </w:r>
    </w:p>
    <w:p w14:paraId="4F58465B" w14:textId="77777777" w:rsidR="005524FF" w:rsidRPr="005524FF" w:rsidRDefault="005524FF" w:rsidP="0002473B">
      <w:pPr>
        <w:jc w:val="both"/>
        <w:rPr>
          <w:rFonts w:ascii="Arial" w:hAnsi="Arial" w:cs="Arial"/>
        </w:rPr>
      </w:pPr>
    </w:p>
    <w:p w14:paraId="4F58465C" w14:textId="057E8F8F" w:rsidR="00AC3318" w:rsidRPr="00E962B7" w:rsidRDefault="00AC3318" w:rsidP="0002473B">
      <w:pPr>
        <w:jc w:val="both"/>
        <w:rPr>
          <w:rFonts w:ascii="Arial" w:hAnsi="Arial" w:cs="Arial"/>
          <w:color w:val="000000"/>
        </w:rPr>
      </w:pPr>
      <w:r w:rsidRPr="0E707C01">
        <w:rPr>
          <w:rFonts w:ascii="Arial" w:hAnsi="Arial" w:cs="Arial"/>
          <w:color w:val="000000" w:themeColor="text1"/>
        </w:rPr>
        <w:t>At the point of access to specific Bond Board services, service users</w:t>
      </w:r>
      <w:r w:rsidR="008401D4" w:rsidRPr="0E707C01">
        <w:rPr>
          <w:rFonts w:ascii="Arial" w:hAnsi="Arial" w:cs="Arial"/>
          <w:color w:val="000000" w:themeColor="text1"/>
        </w:rPr>
        <w:t xml:space="preserve"> (and anyone else whose personal data The Bond Board processes),</w:t>
      </w:r>
      <w:r w:rsidRPr="0E707C01">
        <w:rPr>
          <w:rFonts w:ascii="Arial" w:hAnsi="Arial" w:cs="Arial"/>
          <w:color w:val="000000" w:themeColor="text1"/>
        </w:rPr>
        <w:t xml:space="preserve"> will be provided with specific written information relevant to that service</w:t>
      </w:r>
      <w:r w:rsidR="00737BE1" w:rsidRPr="0E707C01">
        <w:rPr>
          <w:rFonts w:ascii="Arial" w:hAnsi="Arial" w:cs="Arial"/>
          <w:color w:val="000000" w:themeColor="text1"/>
        </w:rPr>
        <w:t>,</w:t>
      </w:r>
      <w:r w:rsidRPr="0E707C01">
        <w:rPr>
          <w:rFonts w:ascii="Arial" w:hAnsi="Arial" w:cs="Arial"/>
          <w:color w:val="000000" w:themeColor="text1"/>
        </w:rPr>
        <w:t xml:space="preserve"> which </w:t>
      </w:r>
      <w:r w:rsidR="000144E9" w:rsidRPr="0E707C01">
        <w:rPr>
          <w:rFonts w:ascii="Arial" w:hAnsi="Arial" w:cs="Arial"/>
          <w:color w:val="000000" w:themeColor="text1"/>
        </w:rPr>
        <w:t>explains:</w:t>
      </w:r>
      <w:r w:rsidR="0051348E" w:rsidRPr="0E707C01">
        <w:rPr>
          <w:rFonts w:ascii="Arial" w:hAnsi="Arial" w:cs="Arial"/>
          <w:color w:val="000000" w:themeColor="text1"/>
        </w:rPr>
        <w:t xml:space="preserve"> </w:t>
      </w:r>
      <w:r w:rsidR="00236E7B" w:rsidRPr="0E707C01">
        <w:rPr>
          <w:rFonts w:ascii="Arial" w:hAnsi="Arial" w:cs="Arial"/>
          <w:color w:val="000000" w:themeColor="text1"/>
        </w:rPr>
        <w:t xml:space="preserve"> </w:t>
      </w:r>
    </w:p>
    <w:p w14:paraId="4F58465D" w14:textId="77777777" w:rsidR="00AC3318" w:rsidRPr="005524FF" w:rsidRDefault="00AC3318">
      <w:pPr>
        <w:rPr>
          <w:rFonts w:ascii="Arial" w:hAnsi="Arial" w:cs="Arial"/>
        </w:rPr>
      </w:pPr>
    </w:p>
    <w:p w14:paraId="4F58465E" w14:textId="77777777" w:rsidR="00AC3318" w:rsidRPr="005524FF" w:rsidRDefault="00AC3318">
      <w:pPr>
        <w:rPr>
          <w:rFonts w:ascii="Arial" w:hAnsi="Arial" w:cs="Arial"/>
        </w:rPr>
      </w:pPr>
      <w:r w:rsidRPr="005524FF">
        <w:rPr>
          <w:rFonts w:ascii="Arial" w:hAnsi="Arial" w:cs="Arial"/>
        </w:rPr>
        <w:t xml:space="preserve">■ what kind of information is being recorded and retained </w:t>
      </w:r>
    </w:p>
    <w:p w14:paraId="4F58465F" w14:textId="77777777" w:rsidR="00AC3318" w:rsidRPr="005524FF" w:rsidRDefault="00AC3318">
      <w:pPr>
        <w:rPr>
          <w:rFonts w:ascii="Arial" w:hAnsi="Arial" w:cs="Arial"/>
        </w:rPr>
      </w:pPr>
      <w:r w:rsidRPr="005524FF">
        <w:rPr>
          <w:rFonts w:ascii="Arial" w:hAnsi="Arial" w:cs="Arial"/>
        </w:rPr>
        <w:t>■ the purposes for which the information is being recorded and retained</w:t>
      </w:r>
    </w:p>
    <w:p w14:paraId="4F584660" w14:textId="77777777" w:rsidR="00AC3318" w:rsidRPr="005524FF" w:rsidRDefault="00AC3318">
      <w:pPr>
        <w:rPr>
          <w:rFonts w:ascii="Arial" w:hAnsi="Arial" w:cs="Arial"/>
        </w:rPr>
      </w:pPr>
      <w:r w:rsidRPr="005524FF">
        <w:rPr>
          <w:rFonts w:ascii="Arial" w:hAnsi="Arial" w:cs="Arial"/>
        </w:rPr>
        <w:t xml:space="preserve">■ what protections are in place to ensure non-disclosure of their information </w:t>
      </w:r>
    </w:p>
    <w:p w14:paraId="4F584661" w14:textId="77777777" w:rsidR="00AC3318" w:rsidRPr="005524FF" w:rsidRDefault="00AC3318">
      <w:pPr>
        <w:rPr>
          <w:rFonts w:ascii="Arial" w:hAnsi="Arial" w:cs="Arial"/>
        </w:rPr>
      </w:pPr>
      <w:r w:rsidRPr="005524FF">
        <w:rPr>
          <w:rFonts w:ascii="Arial" w:hAnsi="Arial" w:cs="Arial"/>
        </w:rPr>
        <w:t xml:space="preserve">■ what kinds of information sharing will usually occur, </w:t>
      </w:r>
      <w:r w:rsidR="00632B2B" w:rsidRPr="005524FF">
        <w:rPr>
          <w:rFonts w:ascii="Arial" w:hAnsi="Arial" w:cs="Arial"/>
        </w:rPr>
        <w:t>with whom and for what purpose</w:t>
      </w:r>
      <w:r w:rsidR="00345E39" w:rsidRPr="005524FF">
        <w:rPr>
          <w:rFonts w:ascii="Arial" w:hAnsi="Arial" w:cs="Arial"/>
        </w:rPr>
        <w:t xml:space="preserve">, for example any inter-agency information sharing protocols or reporting obligations to funders. </w:t>
      </w:r>
    </w:p>
    <w:p w14:paraId="4F584662" w14:textId="77777777" w:rsidR="00AC3318" w:rsidRPr="005524FF" w:rsidRDefault="00632B2B">
      <w:pPr>
        <w:rPr>
          <w:rFonts w:ascii="Arial" w:hAnsi="Arial" w:cs="Arial"/>
        </w:rPr>
      </w:pPr>
      <w:r w:rsidRPr="005524FF">
        <w:rPr>
          <w:rFonts w:ascii="Arial" w:hAnsi="Arial" w:cs="Arial"/>
        </w:rPr>
        <w:t>■</w:t>
      </w:r>
      <w:r w:rsidR="00AC3318" w:rsidRPr="005524FF">
        <w:rPr>
          <w:rFonts w:ascii="Arial" w:hAnsi="Arial" w:cs="Arial"/>
        </w:rPr>
        <w:t xml:space="preserve"> the choices available to them about how their informatio</w:t>
      </w:r>
      <w:r w:rsidRPr="005524FF">
        <w:rPr>
          <w:rFonts w:ascii="Arial" w:hAnsi="Arial" w:cs="Arial"/>
        </w:rPr>
        <w:t>n may be used and disclosed</w:t>
      </w:r>
      <w:r w:rsidR="00AC3318" w:rsidRPr="005524FF">
        <w:rPr>
          <w:rFonts w:ascii="Arial" w:hAnsi="Arial" w:cs="Arial"/>
        </w:rPr>
        <w:t xml:space="preserve"> </w:t>
      </w:r>
    </w:p>
    <w:p w14:paraId="4F584663" w14:textId="77777777" w:rsidR="00AC3318" w:rsidRPr="005524FF" w:rsidRDefault="00632B2B">
      <w:pPr>
        <w:rPr>
          <w:rFonts w:ascii="Arial" w:hAnsi="Arial" w:cs="Arial"/>
        </w:rPr>
      </w:pPr>
      <w:r w:rsidRPr="005524FF">
        <w:rPr>
          <w:rFonts w:ascii="Arial" w:hAnsi="Arial" w:cs="Arial"/>
        </w:rPr>
        <w:t xml:space="preserve">■ </w:t>
      </w:r>
      <w:r w:rsidR="00AC3318" w:rsidRPr="005524FF">
        <w:rPr>
          <w:rFonts w:ascii="Arial" w:hAnsi="Arial" w:cs="Arial"/>
        </w:rPr>
        <w:t>their rights to access and where necessary to correct the information held about them within their records.</w:t>
      </w:r>
    </w:p>
    <w:p w14:paraId="4F584664" w14:textId="77777777" w:rsidR="00AC3318" w:rsidRPr="008401D4" w:rsidRDefault="00632B2B">
      <w:pPr>
        <w:rPr>
          <w:rFonts w:ascii="Arial" w:hAnsi="Arial" w:cs="Arial"/>
          <w:color w:val="FF0000"/>
        </w:rPr>
      </w:pPr>
      <w:r w:rsidRPr="005524FF">
        <w:rPr>
          <w:rFonts w:ascii="Arial" w:hAnsi="Arial" w:cs="Arial"/>
        </w:rPr>
        <w:t xml:space="preserve">■ </w:t>
      </w:r>
      <w:r w:rsidR="00AC3318" w:rsidRPr="005524FF">
        <w:rPr>
          <w:rFonts w:ascii="Arial" w:hAnsi="Arial" w:cs="Arial"/>
        </w:rPr>
        <w:t xml:space="preserve">the mechanism for withholding or withdrawing consent </w:t>
      </w:r>
      <w:r w:rsidR="00AC3318" w:rsidRPr="0019010D">
        <w:rPr>
          <w:rFonts w:ascii="Arial" w:hAnsi="Arial" w:cs="Arial"/>
        </w:rPr>
        <w:t>in the future</w:t>
      </w:r>
      <w:r w:rsidR="008401D4" w:rsidRPr="0019010D">
        <w:rPr>
          <w:rFonts w:ascii="Arial" w:hAnsi="Arial" w:cs="Arial"/>
        </w:rPr>
        <w:t>,</w:t>
      </w:r>
      <w:r w:rsidR="008401D4">
        <w:rPr>
          <w:rFonts w:ascii="Arial" w:hAnsi="Arial" w:cs="Arial"/>
        </w:rPr>
        <w:t xml:space="preserve"> </w:t>
      </w:r>
    </w:p>
    <w:p w14:paraId="4F584665" w14:textId="77777777" w:rsidR="00AC3318" w:rsidRDefault="00632B2B" w:rsidP="00AC3318">
      <w:pPr>
        <w:jc w:val="both"/>
        <w:rPr>
          <w:rFonts w:ascii="Arial" w:hAnsi="Arial" w:cs="Arial"/>
        </w:rPr>
      </w:pPr>
      <w:r w:rsidRPr="005524FF">
        <w:rPr>
          <w:rFonts w:ascii="Arial" w:hAnsi="Arial" w:cs="Arial"/>
        </w:rPr>
        <w:t xml:space="preserve">■ how to raise </w:t>
      </w:r>
      <w:r w:rsidR="00AC3318" w:rsidRPr="005524FF">
        <w:rPr>
          <w:rFonts w:ascii="Arial" w:hAnsi="Arial" w:cs="Arial"/>
        </w:rPr>
        <w:t xml:space="preserve">any concerns they may have about possible uses </w:t>
      </w:r>
      <w:r w:rsidRPr="005524FF">
        <w:rPr>
          <w:rFonts w:ascii="Arial" w:hAnsi="Arial" w:cs="Arial"/>
        </w:rPr>
        <w:t xml:space="preserve">or potential </w:t>
      </w:r>
      <w:r w:rsidR="008401D4">
        <w:rPr>
          <w:rFonts w:ascii="Arial" w:hAnsi="Arial" w:cs="Arial"/>
        </w:rPr>
        <w:t>mis</w:t>
      </w:r>
      <w:r w:rsidRPr="005524FF">
        <w:rPr>
          <w:rFonts w:ascii="Arial" w:hAnsi="Arial" w:cs="Arial"/>
        </w:rPr>
        <w:t xml:space="preserve">use </w:t>
      </w:r>
      <w:r w:rsidR="00AC3318" w:rsidRPr="005524FF">
        <w:rPr>
          <w:rFonts w:ascii="Arial" w:hAnsi="Arial" w:cs="Arial"/>
        </w:rPr>
        <w:t>of their information.</w:t>
      </w:r>
    </w:p>
    <w:p w14:paraId="4F584666" w14:textId="77777777" w:rsidR="008401D4" w:rsidRPr="008401D4" w:rsidRDefault="008401D4" w:rsidP="00AC3318">
      <w:pPr>
        <w:jc w:val="both"/>
        <w:rPr>
          <w:rFonts w:ascii="Arial" w:hAnsi="Arial" w:cs="Arial"/>
          <w:color w:val="FF0000"/>
        </w:rPr>
      </w:pPr>
      <w:r w:rsidRPr="005524FF">
        <w:rPr>
          <w:rFonts w:ascii="Arial" w:hAnsi="Arial" w:cs="Arial"/>
        </w:rPr>
        <w:t>■</w:t>
      </w:r>
      <w:r w:rsidRPr="001E23F1">
        <w:rPr>
          <w:rFonts w:ascii="Arial" w:hAnsi="Arial" w:cs="Arial"/>
          <w:color w:val="000000"/>
        </w:rPr>
        <w:t>How to access a privacy notice which contains further information about their rights in respect of their personal data.</w:t>
      </w:r>
    </w:p>
    <w:p w14:paraId="4F584667" w14:textId="77777777" w:rsidR="00AC3318" w:rsidRDefault="00AC3318">
      <w:pPr>
        <w:rPr>
          <w:rFonts w:ascii="Arial" w:hAnsi="Arial" w:cs="Arial"/>
        </w:rPr>
      </w:pPr>
    </w:p>
    <w:p w14:paraId="4F584668" w14:textId="0DC60BD7" w:rsidR="00401518" w:rsidRPr="005524FF" w:rsidRDefault="007D7E5C" w:rsidP="007D7E5C">
      <w:pPr>
        <w:jc w:val="both"/>
        <w:rPr>
          <w:rFonts w:ascii="Arial" w:hAnsi="Arial" w:cs="Arial"/>
        </w:rPr>
      </w:pPr>
      <w:r w:rsidRPr="0E707C01">
        <w:rPr>
          <w:rFonts w:ascii="Arial" w:hAnsi="Arial" w:cs="Arial"/>
        </w:rPr>
        <w:lastRenderedPageBreak/>
        <w:t>Bond Board employees should</w:t>
      </w:r>
      <w:r w:rsidR="00FA6B7C" w:rsidRPr="0E707C01">
        <w:rPr>
          <w:rFonts w:ascii="Arial" w:hAnsi="Arial" w:cs="Arial"/>
        </w:rPr>
        <w:t xml:space="preserve"> always </w:t>
      </w:r>
      <w:r w:rsidRPr="0E707C01">
        <w:rPr>
          <w:rFonts w:ascii="Arial" w:hAnsi="Arial" w:cs="Arial"/>
        </w:rPr>
        <w:t>be mindful about the location in which they have</w:t>
      </w:r>
      <w:r w:rsidR="00FA6B7C" w:rsidRPr="0E707C01">
        <w:rPr>
          <w:rFonts w:ascii="Arial" w:hAnsi="Arial" w:cs="Arial"/>
        </w:rPr>
        <w:t xml:space="preserve"> discussions with </w:t>
      </w:r>
      <w:r w:rsidRPr="0E707C01">
        <w:rPr>
          <w:rFonts w:ascii="Arial" w:hAnsi="Arial" w:cs="Arial"/>
        </w:rPr>
        <w:t xml:space="preserve">or about </w:t>
      </w:r>
      <w:r w:rsidR="00FA6B7C" w:rsidRPr="0E707C01">
        <w:rPr>
          <w:rFonts w:ascii="Arial" w:hAnsi="Arial" w:cs="Arial"/>
        </w:rPr>
        <w:t>s</w:t>
      </w:r>
      <w:r w:rsidRPr="0E707C01">
        <w:rPr>
          <w:rFonts w:ascii="Arial" w:hAnsi="Arial" w:cs="Arial"/>
        </w:rPr>
        <w:t>ervice users, so that any private</w:t>
      </w:r>
      <w:r w:rsidR="00FA6B7C" w:rsidRPr="0E707C01">
        <w:rPr>
          <w:rFonts w:ascii="Arial" w:hAnsi="Arial" w:cs="Arial"/>
        </w:rPr>
        <w:t>, sensitive or confidential in</w:t>
      </w:r>
      <w:r w:rsidRPr="0E707C01">
        <w:rPr>
          <w:rFonts w:ascii="Arial" w:hAnsi="Arial" w:cs="Arial"/>
        </w:rPr>
        <w:t>formation is not</w:t>
      </w:r>
      <w:r w:rsidR="00FA6B7C" w:rsidRPr="0E707C01">
        <w:rPr>
          <w:rFonts w:ascii="Arial" w:hAnsi="Arial" w:cs="Arial"/>
        </w:rPr>
        <w:t xml:space="preserve"> overheard or inadvertently accessible to others.</w:t>
      </w:r>
      <w:r w:rsidR="00551A29" w:rsidRPr="0E707C01">
        <w:rPr>
          <w:rFonts w:ascii="Arial" w:hAnsi="Arial" w:cs="Arial"/>
        </w:rPr>
        <w:t xml:space="preserve"> </w:t>
      </w:r>
      <w:r w:rsidR="00401518" w:rsidRPr="0E707C01">
        <w:rPr>
          <w:rFonts w:ascii="Arial" w:hAnsi="Arial" w:cs="Arial"/>
        </w:rPr>
        <w:t>Any m</w:t>
      </w:r>
      <w:r w:rsidR="00551A29" w:rsidRPr="0E707C01">
        <w:rPr>
          <w:rFonts w:ascii="Arial" w:hAnsi="Arial" w:cs="Arial"/>
        </w:rPr>
        <w:t>eans of communication of confidential</w:t>
      </w:r>
      <w:r w:rsidR="00401518" w:rsidRPr="0E707C01">
        <w:rPr>
          <w:rFonts w:ascii="Arial" w:hAnsi="Arial" w:cs="Arial"/>
        </w:rPr>
        <w:t xml:space="preserve"> information (for example, telephone</w:t>
      </w:r>
      <w:r w:rsidR="00924169">
        <w:rPr>
          <w:rFonts w:ascii="Arial" w:hAnsi="Arial" w:cs="Arial"/>
        </w:rPr>
        <w:t xml:space="preserve"> </w:t>
      </w:r>
      <w:r w:rsidR="00401518" w:rsidRPr="0E707C01">
        <w:rPr>
          <w:rFonts w:ascii="Arial" w:hAnsi="Arial" w:cs="Arial"/>
        </w:rPr>
        <w:t>or email) should</w:t>
      </w:r>
      <w:r w:rsidR="00551A29" w:rsidRPr="0E707C01">
        <w:rPr>
          <w:rFonts w:ascii="Arial" w:hAnsi="Arial" w:cs="Arial"/>
        </w:rPr>
        <w:t xml:space="preserve"> also</w:t>
      </w:r>
      <w:r w:rsidR="00401518" w:rsidRPr="0E707C01">
        <w:rPr>
          <w:rFonts w:ascii="Arial" w:hAnsi="Arial" w:cs="Arial"/>
        </w:rPr>
        <w:t xml:space="preserve"> ensure the privacy of the service user.</w:t>
      </w:r>
    </w:p>
    <w:p w14:paraId="4F584669" w14:textId="77777777" w:rsidR="00FA6B7C" w:rsidRPr="005524FF" w:rsidRDefault="00FA6B7C">
      <w:pPr>
        <w:rPr>
          <w:rFonts w:ascii="Arial" w:hAnsi="Arial" w:cs="Arial"/>
        </w:rPr>
      </w:pPr>
    </w:p>
    <w:p w14:paraId="4F58466A" w14:textId="77777777" w:rsidR="00340FB7" w:rsidRPr="005524FF" w:rsidRDefault="00340FB7" w:rsidP="00340FB7">
      <w:pPr>
        <w:jc w:val="both"/>
        <w:rPr>
          <w:rFonts w:ascii="Arial" w:hAnsi="Arial" w:cs="Arial"/>
        </w:rPr>
      </w:pPr>
      <w:r w:rsidRPr="005524FF">
        <w:rPr>
          <w:rFonts w:ascii="Arial" w:hAnsi="Arial" w:cs="Arial"/>
        </w:rPr>
        <w:t xml:space="preserve">Employees should only seek information about a service user’s personal information from another Bond Board employee when there is a legitimate need to access that information and the person </w:t>
      </w:r>
      <w:proofErr w:type="gramStart"/>
      <w:r w:rsidRPr="005524FF">
        <w:rPr>
          <w:rFonts w:ascii="Arial" w:hAnsi="Arial" w:cs="Arial"/>
        </w:rPr>
        <w:t>has</w:t>
      </w:r>
      <w:proofErr w:type="gramEnd"/>
      <w:r w:rsidRPr="005524FF">
        <w:rPr>
          <w:rFonts w:ascii="Arial" w:hAnsi="Arial" w:cs="Arial"/>
        </w:rPr>
        <w:t xml:space="preserve"> the authority to disclose it.</w:t>
      </w:r>
      <w:r w:rsidR="00345E39" w:rsidRPr="005524FF">
        <w:rPr>
          <w:rFonts w:ascii="Arial" w:hAnsi="Arial" w:cs="Arial"/>
        </w:rPr>
        <w:t xml:space="preserve"> Service user information should not be shared more widely than is strictly necessary.</w:t>
      </w:r>
      <w:r w:rsidRPr="005524FF">
        <w:rPr>
          <w:rFonts w:ascii="Arial" w:hAnsi="Arial" w:cs="Arial"/>
        </w:rPr>
        <w:t xml:space="preserve">  </w:t>
      </w:r>
    </w:p>
    <w:p w14:paraId="4F58466B" w14:textId="77777777" w:rsidR="00340FB7" w:rsidRPr="005524FF" w:rsidRDefault="00340FB7" w:rsidP="00340FB7">
      <w:pPr>
        <w:jc w:val="both"/>
        <w:rPr>
          <w:rFonts w:ascii="Arial" w:hAnsi="Arial" w:cs="Arial"/>
        </w:rPr>
      </w:pPr>
    </w:p>
    <w:p w14:paraId="4F58466C" w14:textId="77777777" w:rsidR="00340FB7" w:rsidRDefault="00340FB7" w:rsidP="00340FB7">
      <w:pPr>
        <w:jc w:val="both"/>
        <w:rPr>
          <w:rFonts w:ascii="Arial" w:hAnsi="Arial" w:cs="Arial"/>
        </w:rPr>
      </w:pPr>
      <w:r w:rsidRPr="005524FF">
        <w:rPr>
          <w:rFonts w:ascii="Arial" w:hAnsi="Arial" w:cs="Arial"/>
        </w:rPr>
        <w:t>Employees should be mindful of checking the identity of any person requesting information, including someone claiming to be a member of another service/organisation and the clients consent status, before releasing any service user information.</w:t>
      </w:r>
    </w:p>
    <w:p w14:paraId="4F58466D" w14:textId="77777777" w:rsidR="00B21854" w:rsidRDefault="00B21854" w:rsidP="00340FB7">
      <w:pPr>
        <w:jc w:val="both"/>
        <w:rPr>
          <w:rFonts w:ascii="Arial" w:hAnsi="Arial" w:cs="Arial"/>
        </w:rPr>
      </w:pPr>
    </w:p>
    <w:p w14:paraId="4F58466E" w14:textId="77777777" w:rsidR="00616226" w:rsidRPr="005524FF" w:rsidRDefault="00616226" w:rsidP="00340FB7">
      <w:pPr>
        <w:jc w:val="both"/>
        <w:rPr>
          <w:rFonts w:ascii="Arial" w:hAnsi="Arial" w:cs="Arial"/>
        </w:rPr>
      </w:pPr>
      <w:r w:rsidRPr="005524FF">
        <w:rPr>
          <w:rFonts w:ascii="Arial" w:hAnsi="Arial" w:cs="Arial"/>
        </w:rPr>
        <w:t>Employees working in outre</w:t>
      </w:r>
      <w:r w:rsidR="00E44DDE" w:rsidRPr="005524FF">
        <w:rPr>
          <w:rFonts w:ascii="Arial" w:hAnsi="Arial" w:cs="Arial"/>
        </w:rPr>
        <w:t>ach locations, at home or travelling have a duty to ensure that confidential information is</w:t>
      </w:r>
      <w:r w:rsidRPr="005524FF">
        <w:rPr>
          <w:rFonts w:ascii="Arial" w:hAnsi="Arial" w:cs="Arial"/>
        </w:rPr>
        <w:t xml:space="preserve"> </w:t>
      </w:r>
      <w:proofErr w:type="gramStart"/>
      <w:r w:rsidRPr="005524FF">
        <w:rPr>
          <w:rFonts w:ascii="Arial" w:hAnsi="Arial" w:cs="Arial"/>
        </w:rPr>
        <w:t>safeguarded at all times</w:t>
      </w:r>
      <w:proofErr w:type="gramEnd"/>
      <w:r w:rsidR="00E44DDE" w:rsidRPr="005524FF">
        <w:rPr>
          <w:rFonts w:ascii="Arial" w:hAnsi="Arial" w:cs="Arial"/>
        </w:rPr>
        <w:t>. This includes not allowing the details on the front of or in a casefile to be seen by anyone outside of the Bond Board and keeping information</w:t>
      </w:r>
      <w:r w:rsidRPr="005524FF">
        <w:rPr>
          <w:rFonts w:ascii="Arial" w:hAnsi="Arial" w:cs="Arial"/>
        </w:rPr>
        <w:t xml:space="preserve"> in </w:t>
      </w:r>
      <w:r w:rsidR="00E44DDE" w:rsidRPr="005524FF">
        <w:rPr>
          <w:rFonts w:ascii="Arial" w:hAnsi="Arial" w:cs="Arial"/>
        </w:rPr>
        <w:t>a secure, lockable location when not in use</w:t>
      </w:r>
      <w:r w:rsidRPr="005524FF">
        <w:rPr>
          <w:rFonts w:ascii="Arial" w:hAnsi="Arial" w:cs="Arial"/>
        </w:rPr>
        <w:t xml:space="preserve">. </w:t>
      </w:r>
    </w:p>
    <w:p w14:paraId="4F58466F" w14:textId="77777777" w:rsidR="00616226" w:rsidRPr="005524FF" w:rsidRDefault="00616226" w:rsidP="00340FB7">
      <w:pPr>
        <w:jc w:val="both"/>
        <w:rPr>
          <w:rFonts w:ascii="Arial" w:hAnsi="Arial" w:cs="Arial"/>
        </w:rPr>
      </w:pPr>
    </w:p>
    <w:p w14:paraId="4F584670" w14:textId="77777777" w:rsidR="00B21854" w:rsidRDefault="00B21854" w:rsidP="00340FB7">
      <w:pPr>
        <w:jc w:val="both"/>
        <w:rPr>
          <w:rFonts w:ascii="Arial" w:hAnsi="Arial" w:cs="Arial"/>
        </w:rPr>
      </w:pPr>
      <w:r w:rsidRPr="005524FF">
        <w:rPr>
          <w:rFonts w:ascii="Arial" w:hAnsi="Arial" w:cs="Arial"/>
        </w:rPr>
        <w:t>The confidential nature of a service user’s information continues to apply after the death of that service user.  Where a competent service user has made an explicit request before his or her death that their confidence be maintained, then the service user’s request will be respected.</w:t>
      </w:r>
    </w:p>
    <w:p w14:paraId="4F584671" w14:textId="77777777" w:rsidR="00737BE1" w:rsidRDefault="00737BE1" w:rsidP="00340FB7">
      <w:pPr>
        <w:jc w:val="both"/>
        <w:rPr>
          <w:rFonts w:ascii="Arial" w:hAnsi="Arial" w:cs="Arial"/>
        </w:rPr>
      </w:pPr>
    </w:p>
    <w:p w14:paraId="4F584672" w14:textId="77777777" w:rsidR="00737BE1" w:rsidRPr="001E23F1" w:rsidRDefault="00737BE1" w:rsidP="00340FB7">
      <w:pPr>
        <w:jc w:val="both"/>
        <w:rPr>
          <w:rFonts w:ascii="Arial" w:hAnsi="Arial" w:cs="Arial"/>
          <w:color w:val="000000"/>
        </w:rPr>
      </w:pPr>
      <w:r w:rsidRPr="001E23F1">
        <w:rPr>
          <w:rFonts w:ascii="Arial" w:hAnsi="Arial" w:cs="Arial"/>
          <w:color w:val="000000"/>
        </w:rPr>
        <w:t>Further guidance for staff about protecting service user confidentiality is contained with the Bond Board’s Data Protection Policy.</w:t>
      </w:r>
    </w:p>
    <w:p w14:paraId="4F584673" w14:textId="77777777" w:rsidR="00B21854" w:rsidRDefault="00B21854" w:rsidP="00340FB7">
      <w:pPr>
        <w:jc w:val="both"/>
        <w:rPr>
          <w:rFonts w:ascii="Arial" w:hAnsi="Arial" w:cs="Arial"/>
        </w:rPr>
      </w:pPr>
    </w:p>
    <w:p w14:paraId="4F584674" w14:textId="77777777" w:rsidR="00173DE1" w:rsidRPr="005524FF" w:rsidRDefault="007744BB">
      <w:pPr>
        <w:rPr>
          <w:rFonts w:ascii="Arial" w:hAnsi="Arial" w:cs="Arial"/>
          <w:b/>
        </w:rPr>
      </w:pPr>
      <w:r w:rsidRPr="005524FF">
        <w:rPr>
          <w:rFonts w:ascii="Arial" w:hAnsi="Arial" w:cs="Arial"/>
          <w:b/>
        </w:rPr>
        <w:t>Service user a</w:t>
      </w:r>
      <w:r w:rsidR="00173DE1" w:rsidRPr="005524FF">
        <w:rPr>
          <w:rFonts w:ascii="Arial" w:hAnsi="Arial" w:cs="Arial"/>
          <w:b/>
        </w:rPr>
        <w:t>ccess to own records</w:t>
      </w:r>
    </w:p>
    <w:p w14:paraId="4F584675" w14:textId="77777777" w:rsidR="00401518" w:rsidRPr="005524FF" w:rsidRDefault="00401518">
      <w:pPr>
        <w:rPr>
          <w:rFonts w:ascii="Arial" w:hAnsi="Arial" w:cs="Arial"/>
          <w:b/>
        </w:rPr>
      </w:pPr>
    </w:p>
    <w:p w14:paraId="4F584676" w14:textId="77777777" w:rsidR="00173DE1" w:rsidRPr="00737BE1" w:rsidRDefault="007744BB" w:rsidP="00607E36">
      <w:pPr>
        <w:jc w:val="both"/>
        <w:rPr>
          <w:rFonts w:ascii="Arial" w:hAnsi="Arial" w:cs="Arial"/>
          <w:color w:val="FF0000"/>
        </w:rPr>
      </w:pPr>
      <w:r w:rsidRPr="005524FF">
        <w:rPr>
          <w:rFonts w:ascii="Arial" w:hAnsi="Arial" w:cs="Arial"/>
        </w:rPr>
        <w:t xml:space="preserve">The Bond Board is </w:t>
      </w:r>
      <w:r w:rsidR="00401518" w:rsidRPr="005524FF">
        <w:rPr>
          <w:rFonts w:ascii="Arial" w:hAnsi="Arial" w:cs="Arial"/>
        </w:rPr>
        <w:t xml:space="preserve">fully </w:t>
      </w:r>
      <w:r w:rsidRPr="005524FF">
        <w:rPr>
          <w:rFonts w:ascii="Arial" w:hAnsi="Arial" w:cs="Arial"/>
        </w:rPr>
        <w:t xml:space="preserve">committed to allowing service </w:t>
      </w:r>
      <w:r w:rsidR="00607E36" w:rsidRPr="005524FF">
        <w:rPr>
          <w:rFonts w:ascii="Arial" w:hAnsi="Arial" w:cs="Arial"/>
        </w:rPr>
        <w:t xml:space="preserve">users </w:t>
      </w:r>
      <w:r w:rsidR="00401518" w:rsidRPr="005524FF">
        <w:rPr>
          <w:rFonts w:ascii="Arial" w:hAnsi="Arial" w:cs="Arial"/>
        </w:rPr>
        <w:t>the</w:t>
      </w:r>
      <w:r w:rsidR="00173DE1" w:rsidRPr="005524FF">
        <w:rPr>
          <w:rFonts w:ascii="Arial" w:hAnsi="Arial" w:cs="Arial"/>
        </w:rPr>
        <w:t xml:space="preserve"> right of access </w:t>
      </w:r>
      <w:r w:rsidRPr="005524FF">
        <w:rPr>
          <w:rFonts w:ascii="Arial" w:hAnsi="Arial" w:cs="Arial"/>
        </w:rPr>
        <w:t xml:space="preserve">to their case </w:t>
      </w:r>
      <w:r w:rsidR="00173DE1" w:rsidRPr="005524FF">
        <w:rPr>
          <w:rFonts w:ascii="Arial" w:hAnsi="Arial" w:cs="Arial"/>
        </w:rPr>
        <w:t xml:space="preserve">records and </w:t>
      </w:r>
      <w:r w:rsidR="00607E36" w:rsidRPr="005524FF">
        <w:rPr>
          <w:rFonts w:ascii="Arial" w:hAnsi="Arial" w:cs="Arial"/>
        </w:rPr>
        <w:t>to any other information held about them</w:t>
      </w:r>
      <w:r w:rsidR="00173DE1" w:rsidRPr="005524FF">
        <w:rPr>
          <w:rFonts w:ascii="Arial" w:hAnsi="Arial" w:cs="Arial"/>
        </w:rPr>
        <w:t xml:space="preserve"> </w:t>
      </w:r>
      <w:r w:rsidR="00607E36" w:rsidRPr="005524FF">
        <w:rPr>
          <w:rFonts w:ascii="Arial" w:hAnsi="Arial" w:cs="Arial"/>
        </w:rPr>
        <w:t>by The Bond Board. No charge will be made in respect of providing service users with information held about them. Any i</w:t>
      </w:r>
      <w:r w:rsidR="00173DE1" w:rsidRPr="005524FF">
        <w:rPr>
          <w:rFonts w:ascii="Arial" w:hAnsi="Arial" w:cs="Arial"/>
        </w:rPr>
        <w:t>nformation</w:t>
      </w:r>
      <w:r w:rsidR="00607E36" w:rsidRPr="005524FF">
        <w:rPr>
          <w:rFonts w:ascii="Arial" w:hAnsi="Arial" w:cs="Arial"/>
        </w:rPr>
        <w:t xml:space="preserve"> which exists in</w:t>
      </w:r>
      <w:r w:rsidR="00173DE1" w:rsidRPr="005524FF">
        <w:rPr>
          <w:rFonts w:ascii="Arial" w:hAnsi="Arial" w:cs="Arial"/>
        </w:rPr>
        <w:t xml:space="preserve"> the record about thir</w:t>
      </w:r>
      <w:r w:rsidR="00607E36" w:rsidRPr="005524FF">
        <w:rPr>
          <w:rFonts w:ascii="Arial" w:hAnsi="Arial" w:cs="Arial"/>
        </w:rPr>
        <w:t xml:space="preserve">d parties (other than relevant </w:t>
      </w:r>
      <w:r w:rsidR="00173DE1" w:rsidRPr="005524FF">
        <w:rPr>
          <w:rFonts w:ascii="Arial" w:hAnsi="Arial" w:cs="Arial"/>
        </w:rPr>
        <w:t>profe</w:t>
      </w:r>
      <w:r w:rsidR="00EE67FD" w:rsidRPr="005524FF">
        <w:rPr>
          <w:rFonts w:ascii="Arial" w:hAnsi="Arial" w:cs="Arial"/>
        </w:rPr>
        <w:t>ssionals) will</w:t>
      </w:r>
      <w:r w:rsidR="00607E36" w:rsidRPr="005524FF">
        <w:rPr>
          <w:rFonts w:ascii="Arial" w:hAnsi="Arial" w:cs="Arial"/>
        </w:rPr>
        <w:t xml:space="preserve"> not </w:t>
      </w:r>
      <w:r w:rsidR="00173DE1" w:rsidRPr="005524FF">
        <w:rPr>
          <w:rFonts w:ascii="Arial" w:hAnsi="Arial" w:cs="Arial"/>
        </w:rPr>
        <w:t>be disclosed without the consent of the third party</w:t>
      </w:r>
      <w:r w:rsidR="00173DE1" w:rsidRPr="001E23F1">
        <w:rPr>
          <w:rFonts w:ascii="Arial" w:hAnsi="Arial" w:cs="Arial"/>
          <w:color w:val="000000"/>
        </w:rPr>
        <w:t>.</w:t>
      </w:r>
      <w:r w:rsidR="00173DE1" w:rsidRPr="001E23F1">
        <w:rPr>
          <w:color w:val="000000"/>
        </w:rPr>
        <w:t xml:space="preserve">  </w:t>
      </w:r>
      <w:r w:rsidR="00737BE1" w:rsidRPr="001E23F1">
        <w:rPr>
          <w:rFonts w:ascii="Arial" w:hAnsi="Arial" w:cs="Arial"/>
          <w:color w:val="000000"/>
        </w:rPr>
        <w:t>Guidance about handling requests for access to case records</w:t>
      </w:r>
      <w:r w:rsidR="0036103B" w:rsidRPr="001E23F1">
        <w:rPr>
          <w:rFonts w:ascii="Arial" w:hAnsi="Arial" w:cs="Arial"/>
          <w:color w:val="000000"/>
        </w:rPr>
        <w:t xml:space="preserve"> </w:t>
      </w:r>
      <w:r w:rsidR="008401D4" w:rsidRPr="001E23F1">
        <w:rPr>
          <w:rFonts w:ascii="Arial" w:hAnsi="Arial" w:cs="Arial"/>
          <w:color w:val="000000"/>
        </w:rPr>
        <w:t>and other data subject rights</w:t>
      </w:r>
      <w:r w:rsidR="00737BE1" w:rsidRPr="001E23F1">
        <w:rPr>
          <w:rFonts w:ascii="Arial" w:hAnsi="Arial" w:cs="Arial"/>
          <w:color w:val="000000"/>
        </w:rPr>
        <w:t xml:space="preserve"> is contained within the Bond Board’s Data Protection policy.</w:t>
      </w:r>
    </w:p>
    <w:p w14:paraId="4F584677" w14:textId="77777777" w:rsidR="00173DE1" w:rsidRPr="00607E36" w:rsidRDefault="00173DE1" w:rsidP="00607E36">
      <w:pPr>
        <w:jc w:val="both"/>
        <w:rPr>
          <w:rFonts w:ascii="Arial" w:hAnsi="Arial" w:cs="Arial"/>
        </w:rPr>
      </w:pPr>
    </w:p>
    <w:p w14:paraId="4F584678" w14:textId="77777777" w:rsidR="00173DE1" w:rsidRDefault="00173DE1">
      <w:pPr>
        <w:rPr>
          <w:rFonts w:ascii="Arial" w:hAnsi="Arial" w:cs="Arial"/>
        </w:rPr>
      </w:pPr>
    </w:p>
    <w:p w14:paraId="4F584679" w14:textId="77777777" w:rsidR="00CD06B7" w:rsidRDefault="00CD06B7">
      <w:pPr>
        <w:pStyle w:val="Heading3"/>
      </w:pPr>
      <w:r>
        <w:t>Breaches of Confidentiality</w:t>
      </w:r>
    </w:p>
    <w:p w14:paraId="4F58467A" w14:textId="77777777" w:rsidR="00CD06B7" w:rsidRDefault="00CD06B7"/>
    <w:p w14:paraId="4F58467B" w14:textId="77777777" w:rsidR="00CD06B7" w:rsidRDefault="00CD06B7" w:rsidP="00DE1979">
      <w:pPr>
        <w:jc w:val="both"/>
        <w:rPr>
          <w:rFonts w:ascii="Arial" w:hAnsi="Arial" w:cs="Arial"/>
        </w:rPr>
      </w:pPr>
      <w:r w:rsidRPr="005524FF">
        <w:rPr>
          <w:rFonts w:ascii="Arial" w:hAnsi="Arial" w:cs="Arial"/>
        </w:rPr>
        <w:t xml:space="preserve">The Bond Board recognises that occasions may arise when </w:t>
      </w:r>
      <w:r w:rsidR="00DE1979" w:rsidRPr="005524FF">
        <w:rPr>
          <w:rFonts w:ascii="Arial" w:hAnsi="Arial" w:cs="Arial"/>
        </w:rPr>
        <w:t xml:space="preserve">employees feel it is appropriate to </w:t>
      </w:r>
      <w:r w:rsidRPr="005524FF">
        <w:rPr>
          <w:rFonts w:ascii="Arial" w:hAnsi="Arial" w:cs="Arial"/>
        </w:rPr>
        <w:t xml:space="preserve">breach confidentiality. </w:t>
      </w:r>
      <w:r w:rsidR="004468B0" w:rsidRPr="005524FF">
        <w:rPr>
          <w:rFonts w:ascii="Arial" w:hAnsi="Arial" w:cs="Arial"/>
        </w:rPr>
        <w:t xml:space="preserve"> </w:t>
      </w:r>
      <w:r w:rsidRPr="005524FF">
        <w:rPr>
          <w:rFonts w:ascii="Arial" w:hAnsi="Arial" w:cs="Arial"/>
        </w:rPr>
        <w:t>A non-exhaustive list of circumstances of when this situation may arise include the following:</w:t>
      </w:r>
    </w:p>
    <w:p w14:paraId="4F58467C" w14:textId="77777777" w:rsidR="005524FF" w:rsidRDefault="005524FF" w:rsidP="00DE1979">
      <w:pPr>
        <w:jc w:val="both"/>
        <w:rPr>
          <w:rFonts w:ascii="Arial" w:hAnsi="Arial" w:cs="Arial"/>
        </w:rPr>
      </w:pPr>
    </w:p>
    <w:p w14:paraId="59233580" w14:textId="77777777" w:rsidR="004632D2" w:rsidRDefault="004632D2" w:rsidP="00DE1979">
      <w:pPr>
        <w:jc w:val="both"/>
        <w:rPr>
          <w:rFonts w:ascii="Arial" w:hAnsi="Arial" w:cs="Arial"/>
        </w:rPr>
      </w:pPr>
    </w:p>
    <w:p w14:paraId="4F58467D" w14:textId="77777777" w:rsidR="00CD06B7" w:rsidRPr="000139BE" w:rsidRDefault="00CD06B7" w:rsidP="0E707C01">
      <w:pPr>
        <w:numPr>
          <w:ilvl w:val="0"/>
          <w:numId w:val="3"/>
        </w:numPr>
        <w:tabs>
          <w:tab w:val="clear" w:pos="720"/>
          <w:tab w:val="num" w:pos="360"/>
        </w:tabs>
        <w:ind w:left="360"/>
        <w:rPr>
          <w:rFonts w:ascii="Arial" w:hAnsi="Arial" w:cs="Arial"/>
        </w:rPr>
      </w:pPr>
      <w:r w:rsidRPr="000139BE">
        <w:rPr>
          <w:rFonts w:ascii="Arial" w:hAnsi="Arial" w:cs="Arial"/>
        </w:rPr>
        <w:lastRenderedPageBreak/>
        <w:t xml:space="preserve">Child </w:t>
      </w:r>
      <w:r w:rsidR="00DE1979" w:rsidRPr="000139BE">
        <w:rPr>
          <w:rFonts w:ascii="Arial" w:hAnsi="Arial" w:cs="Arial"/>
        </w:rPr>
        <w:t>p</w:t>
      </w:r>
      <w:r w:rsidR="00692C17" w:rsidRPr="000139BE">
        <w:rPr>
          <w:rFonts w:ascii="Arial" w:hAnsi="Arial" w:cs="Arial"/>
        </w:rPr>
        <w:t>rotection</w:t>
      </w:r>
    </w:p>
    <w:p w14:paraId="4F58467E" w14:textId="77777777" w:rsidR="00CD06B7" w:rsidRDefault="00CD06B7">
      <w:pPr>
        <w:rPr>
          <w:rFonts w:ascii="Arial" w:hAnsi="Arial" w:cs="Arial"/>
        </w:rPr>
      </w:pPr>
    </w:p>
    <w:p w14:paraId="4F58467F" w14:textId="77777777" w:rsidR="00CD06B7" w:rsidRPr="000139BE" w:rsidRDefault="00CD06B7">
      <w:pPr>
        <w:numPr>
          <w:ilvl w:val="0"/>
          <w:numId w:val="3"/>
        </w:numPr>
        <w:tabs>
          <w:tab w:val="clear" w:pos="720"/>
          <w:tab w:val="num" w:pos="360"/>
        </w:tabs>
        <w:ind w:left="360"/>
        <w:rPr>
          <w:rFonts w:ascii="Arial" w:hAnsi="Arial" w:cs="Arial"/>
        </w:rPr>
      </w:pPr>
      <w:r w:rsidRPr="000139BE">
        <w:rPr>
          <w:rFonts w:ascii="Arial" w:hAnsi="Arial" w:cs="Arial"/>
        </w:rPr>
        <w:t>Making a referral for a service user with a conviction for s</w:t>
      </w:r>
      <w:r w:rsidR="00692C17" w:rsidRPr="000139BE">
        <w:rPr>
          <w:rFonts w:ascii="Arial" w:hAnsi="Arial" w:cs="Arial"/>
        </w:rPr>
        <w:t xml:space="preserve">exual offences against children </w:t>
      </w:r>
    </w:p>
    <w:p w14:paraId="4F584680" w14:textId="77777777" w:rsidR="00692C17" w:rsidRDefault="00692C17" w:rsidP="00692C17">
      <w:pPr>
        <w:pStyle w:val="ListParagraph"/>
        <w:rPr>
          <w:rFonts w:ascii="Arial" w:hAnsi="Arial" w:cs="Arial"/>
        </w:rPr>
      </w:pPr>
    </w:p>
    <w:p w14:paraId="4F584681" w14:textId="29480050" w:rsidR="00692C17" w:rsidRPr="005524FF" w:rsidRDefault="00692C17">
      <w:pPr>
        <w:numPr>
          <w:ilvl w:val="0"/>
          <w:numId w:val="3"/>
        </w:numPr>
        <w:tabs>
          <w:tab w:val="clear" w:pos="720"/>
          <w:tab w:val="num" w:pos="360"/>
        </w:tabs>
        <w:ind w:left="360"/>
        <w:rPr>
          <w:rFonts w:ascii="Arial" w:hAnsi="Arial" w:cs="Arial"/>
        </w:rPr>
      </w:pPr>
      <w:r w:rsidRPr="0E707C01">
        <w:rPr>
          <w:rFonts w:ascii="Arial" w:hAnsi="Arial" w:cs="Arial"/>
        </w:rPr>
        <w:t xml:space="preserve">Protection of </w:t>
      </w:r>
      <w:r w:rsidRPr="000139BE">
        <w:rPr>
          <w:rFonts w:ascii="Arial" w:hAnsi="Arial" w:cs="Arial"/>
        </w:rPr>
        <w:t>vulnerable adults</w:t>
      </w:r>
      <w:r w:rsidR="002E1AF6" w:rsidRPr="0E707C01">
        <w:rPr>
          <w:rFonts w:ascii="Arial" w:hAnsi="Arial" w:cs="Arial"/>
          <w:strike/>
        </w:rPr>
        <w:t xml:space="preserve"> </w:t>
      </w:r>
    </w:p>
    <w:p w14:paraId="4F584682" w14:textId="77777777" w:rsidR="00CD06B7" w:rsidRPr="005524FF" w:rsidRDefault="00CD06B7">
      <w:pPr>
        <w:rPr>
          <w:rFonts w:ascii="Arial" w:hAnsi="Arial" w:cs="Arial"/>
        </w:rPr>
      </w:pPr>
    </w:p>
    <w:p w14:paraId="4F584683" w14:textId="77777777" w:rsidR="00CD06B7" w:rsidRPr="005524FF" w:rsidRDefault="00DE1979">
      <w:pPr>
        <w:numPr>
          <w:ilvl w:val="0"/>
          <w:numId w:val="3"/>
        </w:numPr>
        <w:tabs>
          <w:tab w:val="clear" w:pos="720"/>
          <w:tab w:val="num" w:pos="360"/>
        </w:tabs>
        <w:ind w:left="360"/>
        <w:rPr>
          <w:rFonts w:ascii="Arial" w:hAnsi="Arial" w:cs="Arial"/>
          <w:strike/>
        </w:rPr>
      </w:pPr>
      <w:r w:rsidRPr="005524FF">
        <w:rPr>
          <w:rFonts w:ascii="Arial" w:hAnsi="Arial" w:cs="Arial"/>
        </w:rPr>
        <w:t>Prevention of harm to</w:t>
      </w:r>
      <w:r w:rsidR="003E22D9" w:rsidRPr="005524FF">
        <w:rPr>
          <w:rFonts w:ascii="Arial" w:hAnsi="Arial" w:cs="Arial"/>
        </w:rPr>
        <w:t xml:space="preserve"> service user or</w:t>
      </w:r>
      <w:r w:rsidRPr="005524FF">
        <w:rPr>
          <w:rFonts w:ascii="Arial" w:hAnsi="Arial" w:cs="Arial"/>
        </w:rPr>
        <w:t xml:space="preserve"> third parties</w:t>
      </w:r>
      <w:r w:rsidR="002E1AF6">
        <w:rPr>
          <w:rFonts w:ascii="Arial" w:hAnsi="Arial" w:cs="Arial"/>
        </w:rPr>
        <w:t>.</w:t>
      </w:r>
    </w:p>
    <w:p w14:paraId="4F584684" w14:textId="77777777" w:rsidR="00CD06B7" w:rsidRPr="005524FF" w:rsidRDefault="00CD06B7">
      <w:pPr>
        <w:rPr>
          <w:rFonts w:ascii="Arial" w:hAnsi="Arial" w:cs="Arial"/>
        </w:rPr>
      </w:pPr>
    </w:p>
    <w:p w14:paraId="4F584685" w14:textId="77777777" w:rsidR="00CD06B7" w:rsidRPr="005524FF" w:rsidRDefault="00A85E59">
      <w:pPr>
        <w:numPr>
          <w:ilvl w:val="0"/>
          <w:numId w:val="3"/>
        </w:numPr>
        <w:tabs>
          <w:tab w:val="clear" w:pos="720"/>
          <w:tab w:val="num" w:pos="360"/>
        </w:tabs>
        <w:ind w:left="360"/>
        <w:rPr>
          <w:rFonts w:ascii="Arial" w:hAnsi="Arial" w:cs="Arial"/>
        </w:rPr>
      </w:pPr>
      <w:r w:rsidRPr="005524FF">
        <w:rPr>
          <w:rFonts w:ascii="Arial" w:hAnsi="Arial" w:cs="Arial"/>
        </w:rPr>
        <w:t>Prevention of t</w:t>
      </w:r>
      <w:r w:rsidR="00CD06B7" w:rsidRPr="005524FF">
        <w:rPr>
          <w:rFonts w:ascii="Arial" w:hAnsi="Arial" w:cs="Arial"/>
        </w:rPr>
        <w:t>errorism and other breaches of the law.</w:t>
      </w:r>
    </w:p>
    <w:p w14:paraId="4F584686" w14:textId="77777777" w:rsidR="00CD06B7" w:rsidRPr="005524FF" w:rsidRDefault="00CD06B7">
      <w:pPr>
        <w:rPr>
          <w:rFonts w:ascii="Arial" w:hAnsi="Arial" w:cs="Arial"/>
        </w:rPr>
      </w:pPr>
    </w:p>
    <w:p w14:paraId="4BCB9CE9" w14:textId="77777777" w:rsidR="00885283" w:rsidRDefault="00A85E59" w:rsidP="00885283">
      <w:pPr>
        <w:numPr>
          <w:ilvl w:val="0"/>
          <w:numId w:val="3"/>
        </w:numPr>
        <w:tabs>
          <w:tab w:val="clear" w:pos="720"/>
          <w:tab w:val="num" w:pos="360"/>
        </w:tabs>
        <w:ind w:left="360"/>
        <w:rPr>
          <w:rFonts w:ascii="Arial" w:hAnsi="Arial" w:cs="Arial"/>
        </w:rPr>
      </w:pPr>
      <w:r w:rsidRPr="005524FF">
        <w:rPr>
          <w:rFonts w:ascii="Arial" w:hAnsi="Arial" w:cs="Arial"/>
        </w:rPr>
        <w:t>Prevention, d</w:t>
      </w:r>
      <w:r w:rsidR="004A4BB9" w:rsidRPr="005524FF">
        <w:rPr>
          <w:rFonts w:ascii="Arial" w:hAnsi="Arial" w:cs="Arial"/>
        </w:rPr>
        <w:t>etection or prosecution of a serious crime</w:t>
      </w:r>
      <w:r w:rsidR="005524FF" w:rsidRPr="005524FF">
        <w:rPr>
          <w:rFonts w:ascii="Arial" w:hAnsi="Arial" w:cs="Arial"/>
        </w:rPr>
        <w:t>.</w:t>
      </w:r>
    </w:p>
    <w:p w14:paraId="5D4F8324" w14:textId="77777777" w:rsidR="00885283" w:rsidRDefault="00885283" w:rsidP="00885283">
      <w:pPr>
        <w:pStyle w:val="ListParagraph"/>
        <w:rPr>
          <w:rFonts w:ascii="Arial" w:hAnsi="Arial" w:cs="Arial"/>
        </w:rPr>
      </w:pPr>
    </w:p>
    <w:p w14:paraId="10DA6AA2" w14:textId="4A70286C" w:rsidR="00D00B7E" w:rsidRPr="00885283" w:rsidRDefault="00D00B7E" w:rsidP="00885283">
      <w:pPr>
        <w:numPr>
          <w:ilvl w:val="0"/>
          <w:numId w:val="3"/>
        </w:numPr>
        <w:tabs>
          <w:tab w:val="clear" w:pos="720"/>
          <w:tab w:val="num" w:pos="360"/>
        </w:tabs>
        <w:ind w:left="360"/>
        <w:rPr>
          <w:rFonts w:ascii="Arial" w:hAnsi="Arial" w:cs="Arial"/>
        </w:rPr>
      </w:pPr>
      <w:r w:rsidRPr="00885283">
        <w:rPr>
          <w:rFonts w:ascii="Arial" w:hAnsi="Arial" w:cs="Arial"/>
        </w:rPr>
        <w:t xml:space="preserve">The </w:t>
      </w:r>
      <w:r w:rsidR="00B0676E" w:rsidRPr="00885283">
        <w:rPr>
          <w:rFonts w:ascii="Arial" w:hAnsi="Arial" w:cs="Arial"/>
        </w:rPr>
        <w:t>Chief Executive Officer</w:t>
      </w:r>
      <w:r w:rsidRPr="00885283">
        <w:rPr>
          <w:rFonts w:ascii="Arial" w:hAnsi="Arial" w:cs="Arial"/>
        </w:rPr>
        <w:t xml:space="preserve"> may also decide to notify the Disclosure and Barring Service (DBS) when a staff member </w:t>
      </w:r>
      <w:r w:rsidR="008C51DC" w:rsidRPr="00885283">
        <w:rPr>
          <w:rFonts w:ascii="Arial" w:hAnsi="Arial" w:cs="Arial"/>
        </w:rPr>
        <w:t xml:space="preserve">or Volunteer </w:t>
      </w:r>
      <w:r w:rsidRPr="00885283">
        <w:rPr>
          <w:rFonts w:ascii="Arial" w:hAnsi="Arial" w:cs="Arial"/>
        </w:rPr>
        <w:t xml:space="preserve">is dismissed for gross misconduct, and/or theft. </w:t>
      </w:r>
      <w:r w:rsidR="008C51DC" w:rsidRPr="00885283">
        <w:rPr>
          <w:rFonts w:ascii="Arial" w:hAnsi="Arial" w:cs="Arial"/>
        </w:rPr>
        <w:t xml:space="preserve">In these circumstances, </w:t>
      </w:r>
      <w:r w:rsidR="00AF6AD0" w:rsidRPr="00885283">
        <w:rPr>
          <w:rFonts w:ascii="Arial" w:hAnsi="Arial" w:cs="Arial"/>
        </w:rPr>
        <w:t xml:space="preserve">the Senior Leadership Team and </w:t>
      </w:r>
      <w:r w:rsidRPr="00885283">
        <w:rPr>
          <w:rFonts w:ascii="Arial" w:hAnsi="Arial" w:cs="Arial"/>
        </w:rPr>
        <w:t xml:space="preserve">The </w:t>
      </w:r>
      <w:r w:rsidR="00AF6AD0" w:rsidRPr="00885283">
        <w:rPr>
          <w:rFonts w:ascii="Arial" w:hAnsi="Arial" w:cs="Arial"/>
        </w:rPr>
        <w:t>Chief Executive Officer</w:t>
      </w:r>
      <w:r w:rsidRPr="00885283">
        <w:rPr>
          <w:rFonts w:ascii="Arial" w:hAnsi="Arial" w:cs="Arial"/>
        </w:rPr>
        <w:t xml:space="preserve"> </w:t>
      </w:r>
      <w:r w:rsidR="00AF6AD0" w:rsidRPr="00885283">
        <w:rPr>
          <w:rFonts w:ascii="Arial" w:hAnsi="Arial" w:cs="Arial"/>
        </w:rPr>
        <w:t>must</w:t>
      </w:r>
      <w:r w:rsidRPr="00885283">
        <w:rPr>
          <w:rFonts w:ascii="Arial" w:hAnsi="Arial" w:cs="Arial"/>
        </w:rPr>
        <w:t xml:space="preserve"> consider the risk of harm to vulnerable adults and children should concerns arising during their role at The Bond Board </w:t>
      </w:r>
      <w:proofErr w:type="gramStart"/>
      <w:r w:rsidRPr="00885283">
        <w:rPr>
          <w:rFonts w:ascii="Arial" w:hAnsi="Arial" w:cs="Arial"/>
        </w:rPr>
        <w:t>not be</w:t>
      </w:r>
      <w:proofErr w:type="gramEnd"/>
      <w:r w:rsidRPr="00885283">
        <w:rPr>
          <w:rFonts w:ascii="Arial" w:hAnsi="Arial" w:cs="Arial"/>
        </w:rPr>
        <w:t xml:space="preserve"> disclosed/made known to other potential employers. </w:t>
      </w:r>
    </w:p>
    <w:p w14:paraId="4F584689" w14:textId="77777777" w:rsidR="00CD06B7" w:rsidRDefault="00CD06B7">
      <w:pPr>
        <w:rPr>
          <w:rFonts w:ascii="Arial" w:hAnsi="Arial" w:cs="Arial"/>
        </w:rPr>
      </w:pPr>
    </w:p>
    <w:p w14:paraId="4F58468A" w14:textId="4E66D684" w:rsidR="00E71F2A" w:rsidRPr="005524FF" w:rsidRDefault="000144E9" w:rsidP="00787A50">
      <w:pPr>
        <w:jc w:val="both"/>
        <w:rPr>
          <w:rFonts w:ascii="Arial" w:hAnsi="Arial" w:cs="Arial"/>
        </w:rPr>
      </w:pPr>
      <w:r w:rsidRPr="0E707C01">
        <w:rPr>
          <w:rFonts w:ascii="Arial" w:hAnsi="Arial" w:cs="Arial"/>
        </w:rPr>
        <w:t>The m</w:t>
      </w:r>
      <w:r w:rsidR="00CD06B7" w:rsidRPr="0E707C01">
        <w:rPr>
          <w:rFonts w:ascii="Arial" w:hAnsi="Arial" w:cs="Arial"/>
        </w:rPr>
        <w:t xml:space="preserve">ember of staff will raise </w:t>
      </w:r>
      <w:r w:rsidR="002F397B" w:rsidRPr="0E707C01">
        <w:rPr>
          <w:rFonts w:ascii="Arial" w:hAnsi="Arial" w:cs="Arial"/>
        </w:rPr>
        <w:t xml:space="preserve">any proposed breach of confidentiality with </w:t>
      </w:r>
      <w:r w:rsidR="00CD06B7" w:rsidRPr="0E707C01">
        <w:rPr>
          <w:rFonts w:ascii="Arial" w:hAnsi="Arial" w:cs="Arial"/>
        </w:rPr>
        <w:t>the</w:t>
      </w:r>
      <w:r w:rsidR="00341F52">
        <w:rPr>
          <w:rFonts w:ascii="Arial" w:hAnsi="Arial" w:cs="Arial"/>
        </w:rPr>
        <w:t>ir</w:t>
      </w:r>
      <w:r w:rsidR="00CD06B7" w:rsidRPr="0E707C01">
        <w:rPr>
          <w:rFonts w:ascii="Arial" w:hAnsi="Arial" w:cs="Arial"/>
        </w:rPr>
        <w:t xml:space="preserve"> </w:t>
      </w:r>
      <w:r w:rsidR="00CC24D8" w:rsidRPr="00885283">
        <w:rPr>
          <w:rFonts w:ascii="Arial" w:hAnsi="Arial" w:cs="Arial"/>
        </w:rPr>
        <w:t>Operational M</w:t>
      </w:r>
      <w:r w:rsidR="002E1AF6" w:rsidRPr="00885283">
        <w:rPr>
          <w:rFonts w:ascii="Arial" w:hAnsi="Arial" w:cs="Arial"/>
        </w:rPr>
        <w:t xml:space="preserve">anager </w:t>
      </w:r>
      <w:r w:rsidR="00787A50" w:rsidRPr="00885283">
        <w:rPr>
          <w:rFonts w:ascii="Arial" w:hAnsi="Arial" w:cs="Arial"/>
        </w:rPr>
        <w:t xml:space="preserve">before </w:t>
      </w:r>
      <w:r w:rsidR="00787A50" w:rsidRPr="0E707C01">
        <w:rPr>
          <w:rFonts w:ascii="Arial" w:hAnsi="Arial" w:cs="Arial"/>
        </w:rPr>
        <w:t>any breach is made</w:t>
      </w:r>
      <w:r w:rsidR="00CD06B7" w:rsidRPr="0E707C01">
        <w:rPr>
          <w:rFonts w:ascii="Arial" w:hAnsi="Arial" w:cs="Arial"/>
        </w:rPr>
        <w:t>.</w:t>
      </w:r>
      <w:r w:rsidR="00EA4735">
        <w:rPr>
          <w:rFonts w:ascii="Arial" w:hAnsi="Arial" w:cs="Arial"/>
        </w:rPr>
        <w:t xml:space="preserve"> Operational Managers should contact a member of the Senior Leadership Team.</w:t>
      </w:r>
      <w:r w:rsidR="00CD06B7" w:rsidRPr="0E707C01">
        <w:rPr>
          <w:rFonts w:ascii="Arial" w:hAnsi="Arial" w:cs="Arial"/>
        </w:rPr>
        <w:t xml:space="preserve"> The issues involved in the case </w:t>
      </w:r>
      <w:r w:rsidR="00787A50" w:rsidRPr="0E707C01">
        <w:rPr>
          <w:rFonts w:ascii="Arial" w:hAnsi="Arial" w:cs="Arial"/>
        </w:rPr>
        <w:t xml:space="preserve">will </w:t>
      </w:r>
      <w:r w:rsidR="00CD06B7" w:rsidRPr="0E707C01">
        <w:rPr>
          <w:rFonts w:ascii="Arial" w:hAnsi="Arial" w:cs="Arial"/>
        </w:rPr>
        <w:t xml:space="preserve">be discussed </w:t>
      </w:r>
      <w:r w:rsidR="00787A50" w:rsidRPr="0E707C01">
        <w:rPr>
          <w:rFonts w:ascii="Arial" w:hAnsi="Arial" w:cs="Arial"/>
        </w:rPr>
        <w:t>with the purpose of determining whether there is a</w:t>
      </w:r>
      <w:r w:rsidRPr="0E707C01">
        <w:rPr>
          <w:rFonts w:ascii="Arial" w:hAnsi="Arial" w:cs="Arial"/>
        </w:rPr>
        <w:t>:</w:t>
      </w:r>
    </w:p>
    <w:p w14:paraId="4F58468B" w14:textId="77777777" w:rsidR="00E71F2A" w:rsidRPr="005524FF" w:rsidRDefault="00E71F2A" w:rsidP="00787A50">
      <w:pPr>
        <w:jc w:val="both"/>
        <w:rPr>
          <w:rFonts w:ascii="Arial" w:hAnsi="Arial" w:cs="Arial"/>
        </w:rPr>
      </w:pPr>
    </w:p>
    <w:p w14:paraId="4F58468C" w14:textId="77777777" w:rsidR="00E71F2A" w:rsidRPr="005524FF" w:rsidRDefault="00E71F2A" w:rsidP="00787A50">
      <w:pPr>
        <w:jc w:val="both"/>
        <w:rPr>
          <w:rFonts w:ascii="Arial" w:hAnsi="Arial" w:cs="Arial"/>
        </w:rPr>
      </w:pPr>
      <w:r w:rsidRPr="005524FF">
        <w:rPr>
          <w:rFonts w:ascii="Arial" w:hAnsi="Arial" w:cs="Arial"/>
        </w:rPr>
        <w:t>■ A</w:t>
      </w:r>
      <w:r w:rsidR="00787A50" w:rsidRPr="005524FF">
        <w:rPr>
          <w:rFonts w:ascii="Arial" w:hAnsi="Arial" w:cs="Arial"/>
        </w:rPr>
        <w:t xml:space="preserve"> statutory requirement to use or disclose the information, </w:t>
      </w:r>
      <w:proofErr w:type="gramStart"/>
      <w:r w:rsidR="00787A50" w:rsidRPr="005524FF">
        <w:rPr>
          <w:rFonts w:ascii="Arial" w:hAnsi="Arial" w:cs="Arial"/>
        </w:rPr>
        <w:t>or</w:t>
      </w:r>
      <w:r w:rsidRPr="005524FF">
        <w:rPr>
          <w:rFonts w:ascii="Arial" w:hAnsi="Arial" w:cs="Arial"/>
        </w:rPr>
        <w:t>;</w:t>
      </w:r>
      <w:proofErr w:type="gramEnd"/>
    </w:p>
    <w:p w14:paraId="4F58468D" w14:textId="77777777" w:rsidR="00E71F2A" w:rsidRPr="005524FF" w:rsidRDefault="00E71F2A" w:rsidP="00787A50">
      <w:pPr>
        <w:jc w:val="both"/>
        <w:rPr>
          <w:rFonts w:ascii="Arial" w:hAnsi="Arial" w:cs="Arial"/>
        </w:rPr>
      </w:pPr>
    </w:p>
    <w:p w14:paraId="4F58468E" w14:textId="77777777" w:rsidR="00787A50" w:rsidRPr="005524FF" w:rsidRDefault="00E71F2A" w:rsidP="00787A50">
      <w:pPr>
        <w:jc w:val="both"/>
        <w:rPr>
          <w:rFonts w:ascii="Arial" w:hAnsi="Arial" w:cs="Arial"/>
        </w:rPr>
      </w:pPr>
      <w:r w:rsidRPr="005524FF">
        <w:rPr>
          <w:rFonts w:ascii="Arial" w:hAnsi="Arial" w:cs="Arial"/>
        </w:rPr>
        <w:t>■ T</w:t>
      </w:r>
      <w:r w:rsidR="00787A50" w:rsidRPr="005524FF">
        <w:rPr>
          <w:rFonts w:ascii="Arial" w:hAnsi="Arial" w:cs="Arial"/>
        </w:rPr>
        <w:t xml:space="preserve">he balance of public and private interests favours disclosure.  In such situations there must be a substantial public interest favouring disclosure which outweighs both the private interests of the individual and the public interest in safeguarding confidentiality. </w:t>
      </w:r>
    </w:p>
    <w:p w14:paraId="4F58468F" w14:textId="77777777" w:rsidR="009D70E7" w:rsidRPr="005524FF" w:rsidRDefault="009D70E7" w:rsidP="00787A50">
      <w:pPr>
        <w:jc w:val="both"/>
        <w:rPr>
          <w:rFonts w:ascii="Arial" w:hAnsi="Arial" w:cs="Arial"/>
        </w:rPr>
      </w:pPr>
    </w:p>
    <w:p w14:paraId="4F584690" w14:textId="5A406902" w:rsidR="00E71F2A" w:rsidRDefault="00E71F2A" w:rsidP="009D70E7">
      <w:pPr>
        <w:jc w:val="both"/>
        <w:rPr>
          <w:rFonts w:ascii="Arial" w:hAnsi="Arial" w:cs="Arial"/>
        </w:rPr>
      </w:pPr>
      <w:r w:rsidRPr="00885283">
        <w:rPr>
          <w:rFonts w:ascii="Arial" w:hAnsi="Arial" w:cs="Arial"/>
        </w:rPr>
        <w:t xml:space="preserve">Where there is no statutory duty to breach confidentiality, the </w:t>
      </w:r>
      <w:r w:rsidR="002E1AF6" w:rsidRPr="00885283">
        <w:rPr>
          <w:rFonts w:ascii="Arial" w:hAnsi="Arial" w:cs="Arial"/>
        </w:rPr>
        <w:t>Op</w:t>
      </w:r>
      <w:r w:rsidR="00C806D5" w:rsidRPr="00885283">
        <w:rPr>
          <w:rFonts w:ascii="Arial" w:hAnsi="Arial" w:cs="Arial"/>
        </w:rPr>
        <w:t>erational</w:t>
      </w:r>
      <w:r w:rsidR="002E1AF6" w:rsidRPr="00885283">
        <w:rPr>
          <w:rFonts w:ascii="Arial" w:hAnsi="Arial" w:cs="Arial"/>
        </w:rPr>
        <w:t xml:space="preserve"> </w:t>
      </w:r>
      <w:r w:rsidR="00C806D5" w:rsidRPr="00885283">
        <w:rPr>
          <w:rFonts w:ascii="Arial" w:hAnsi="Arial" w:cs="Arial"/>
        </w:rPr>
        <w:t>M</w:t>
      </w:r>
      <w:r w:rsidR="002E1AF6" w:rsidRPr="00885283">
        <w:rPr>
          <w:rFonts w:ascii="Arial" w:hAnsi="Arial" w:cs="Arial"/>
        </w:rPr>
        <w:t>anagers, S</w:t>
      </w:r>
      <w:r w:rsidR="00C806D5" w:rsidRPr="00885283">
        <w:rPr>
          <w:rFonts w:ascii="Arial" w:hAnsi="Arial" w:cs="Arial"/>
        </w:rPr>
        <w:t xml:space="preserve">enior </w:t>
      </w:r>
      <w:r w:rsidR="002E1AF6" w:rsidRPr="00885283">
        <w:rPr>
          <w:rFonts w:ascii="Arial" w:hAnsi="Arial" w:cs="Arial"/>
        </w:rPr>
        <w:t>L</w:t>
      </w:r>
      <w:r w:rsidR="00C806D5" w:rsidRPr="00885283">
        <w:rPr>
          <w:rFonts w:ascii="Arial" w:hAnsi="Arial" w:cs="Arial"/>
        </w:rPr>
        <w:t xml:space="preserve">eadership </w:t>
      </w:r>
      <w:r w:rsidR="002E1AF6" w:rsidRPr="00885283">
        <w:rPr>
          <w:rFonts w:ascii="Arial" w:hAnsi="Arial" w:cs="Arial"/>
        </w:rPr>
        <w:t>T</w:t>
      </w:r>
      <w:r w:rsidR="00C806D5" w:rsidRPr="00885283">
        <w:rPr>
          <w:rFonts w:ascii="Arial" w:hAnsi="Arial" w:cs="Arial"/>
        </w:rPr>
        <w:t>eam or</w:t>
      </w:r>
      <w:r w:rsidR="002E1AF6" w:rsidRPr="00885283">
        <w:rPr>
          <w:rFonts w:ascii="Arial" w:hAnsi="Arial" w:cs="Arial"/>
        </w:rPr>
        <w:t xml:space="preserve"> </w:t>
      </w:r>
      <w:r w:rsidRPr="00885283">
        <w:rPr>
          <w:rFonts w:ascii="Arial" w:hAnsi="Arial" w:cs="Arial"/>
        </w:rPr>
        <w:t xml:space="preserve">Chief </w:t>
      </w:r>
      <w:r w:rsidR="002E1AF6" w:rsidRPr="00885283">
        <w:rPr>
          <w:rFonts w:ascii="Arial" w:hAnsi="Arial" w:cs="Arial"/>
        </w:rPr>
        <w:t xml:space="preserve">Executive </w:t>
      </w:r>
      <w:r w:rsidR="000144E9" w:rsidRPr="00885283">
        <w:rPr>
          <w:rFonts w:ascii="Arial" w:hAnsi="Arial" w:cs="Arial"/>
        </w:rPr>
        <w:t>will consider</w:t>
      </w:r>
      <w:r w:rsidR="000144E9" w:rsidRPr="0E707C01">
        <w:rPr>
          <w:rFonts w:ascii="Arial" w:hAnsi="Arial" w:cs="Arial"/>
        </w:rPr>
        <w:t>:</w:t>
      </w:r>
    </w:p>
    <w:p w14:paraId="4F584691" w14:textId="77777777" w:rsidR="00060B9C" w:rsidRDefault="00060B9C" w:rsidP="00060B9C">
      <w:pPr>
        <w:jc w:val="both"/>
        <w:rPr>
          <w:rFonts w:ascii="Arial" w:hAnsi="Arial" w:cs="Arial"/>
        </w:rPr>
      </w:pPr>
    </w:p>
    <w:p w14:paraId="4F584692" w14:textId="77777777" w:rsidR="005524FF" w:rsidRPr="001E23F1" w:rsidRDefault="00684E1F" w:rsidP="009D70E7">
      <w:pPr>
        <w:jc w:val="both"/>
        <w:rPr>
          <w:rFonts w:ascii="Arial" w:hAnsi="Arial" w:cs="Arial"/>
          <w:color w:val="000000"/>
        </w:rPr>
      </w:pPr>
      <w:r w:rsidRPr="005524FF">
        <w:rPr>
          <w:rFonts w:ascii="Arial" w:hAnsi="Arial" w:cs="Arial"/>
        </w:rPr>
        <w:t>•</w:t>
      </w:r>
      <w:r w:rsidR="00060B9C" w:rsidRPr="001E23F1">
        <w:rPr>
          <w:rFonts w:ascii="Arial" w:hAnsi="Arial" w:cs="Arial"/>
          <w:color w:val="000000"/>
        </w:rPr>
        <w:t xml:space="preserve"> Data Protection </w:t>
      </w:r>
      <w:r w:rsidR="0019010D" w:rsidRPr="001E23F1">
        <w:rPr>
          <w:rFonts w:ascii="Arial" w:hAnsi="Arial" w:cs="Arial"/>
          <w:color w:val="000000"/>
        </w:rPr>
        <w:t>regulations</w:t>
      </w:r>
    </w:p>
    <w:p w14:paraId="4F584693" w14:textId="77777777" w:rsidR="00E71F2A" w:rsidRPr="005524FF" w:rsidRDefault="00E71F2A" w:rsidP="009D70E7">
      <w:pPr>
        <w:jc w:val="both"/>
        <w:rPr>
          <w:rFonts w:ascii="Arial" w:hAnsi="Arial" w:cs="Arial"/>
        </w:rPr>
      </w:pPr>
      <w:r w:rsidRPr="005524FF">
        <w:rPr>
          <w:rFonts w:ascii="Arial" w:hAnsi="Arial" w:cs="Arial"/>
        </w:rPr>
        <w:t xml:space="preserve">• </w:t>
      </w:r>
      <w:r w:rsidR="009D70E7" w:rsidRPr="005524FF">
        <w:rPr>
          <w:rFonts w:ascii="Arial" w:hAnsi="Arial" w:cs="Arial"/>
        </w:rPr>
        <w:t>The nature and ex</w:t>
      </w:r>
      <w:r w:rsidRPr="005524FF">
        <w:rPr>
          <w:rFonts w:ascii="Arial" w:hAnsi="Arial" w:cs="Arial"/>
        </w:rPr>
        <w:t>tent of the proposed disclosure</w:t>
      </w:r>
    </w:p>
    <w:p w14:paraId="4F584694" w14:textId="77777777" w:rsidR="00E71F2A" w:rsidRPr="00060B9C" w:rsidRDefault="009D70E7" w:rsidP="009D70E7">
      <w:pPr>
        <w:jc w:val="both"/>
        <w:rPr>
          <w:rFonts w:ascii="Arial" w:hAnsi="Arial" w:cs="Arial"/>
          <w:color w:val="FF0000"/>
        </w:rPr>
      </w:pPr>
      <w:r w:rsidRPr="005524FF">
        <w:rPr>
          <w:rFonts w:ascii="Arial" w:hAnsi="Arial" w:cs="Arial"/>
        </w:rPr>
        <w:t>• The importance of the interest tha</w:t>
      </w:r>
      <w:r w:rsidR="003E22D9" w:rsidRPr="005524FF">
        <w:rPr>
          <w:rFonts w:ascii="Arial" w:hAnsi="Arial" w:cs="Arial"/>
        </w:rPr>
        <w:t>t is at risk without disclosure. F</w:t>
      </w:r>
      <w:r w:rsidRPr="005524FF">
        <w:rPr>
          <w:rFonts w:ascii="Arial" w:hAnsi="Arial" w:cs="Arial"/>
        </w:rPr>
        <w:t xml:space="preserve">or </w:t>
      </w:r>
      <w:proofErr w:type="gramStart"/>
      <w:r w:rsidRPr="005524FF">
        <w:rPr>
          <w:rFonts w:ascii="Arial" w:hAnsi="Arial" w:cs="Arial"/>
        </w:rPr>
        <w:t>example</w:t>
      </w:r>
      <w:proofErr w:type="gramEnd"/>
      <w:r w:rsidRPr="005524FF">
        <w:rPr>
          <w:rFonts w:ascii="Arial" w:hAnsi="Arial" w:cs="Arial"/>
        </w:rPr>
        <w:t xml:space="preserve"> disclosure might be more easily justified where </w:t>
      </w:r>
      <w:r w:rsidR="00060B9C" w:rsidRPr="001E23F1">
        <w:rPr>
          <w:rFonts w:ascii="Arial" w:hAnsi="Arial" w:cs="Arial"/>
          <w:color w:val="000000"/>
        </w:rPr>
        <w:t xml:space="preserve">it is in a person’s vital interests, such as a </w:t>
      </w:r>
      <w:proofErr w:type="gramStart"/>
      <w:r w:rsidR="00060B9C" w:rsidRPr="001E23F1">
        <w:rPr>
          <w:rFonts w:ascii="Arial" w:hAnsi="Arial" w:cs="Arial"/>
          <w:color w:val="000000"/>
        </w:rPr>
        <w:t>life or death</w:t>
      </w:r>
      <w:proofErr w:type="gramEnd"/>
      <w:r w:rsidR="00060B9C" w:rsidRPr="001E23F1">
        <w:rPr>
          <w:rFonts w:ascii="Arial" w:hAnsi="Arial" w:cs="Arial"/>
          <w:color w:val="000000"/>
        </w:rPr>
        <w:t xml:space="preserve"> situation.</w:t>
      </w:r>
    </w:p>
    <w:p w14:paraId="4F584695" w14:textId="77777777" w:rsidR="00E71F2A" w:rsidRPr="005524FF" w:rsidRDefault="009D70E7" w:rsidP="009D70E7">
      <w:pPr>
        <w:jc w:val="both"/>
        <w:rPr>
          <w:rFonts w:ascii="Arial" w:hAnsi="Arial" w:cs="Arial"/>
        </w:rPr>
      </w:pPr>
      <w:r w:rsidRPr="005524FF">
        <w:rPr>
          <w:rFonts w:ascii="Arial" w:hAnsi="Arial" w:cs="Arial"/>
        </w:rPr>
        <w:t>• The likelihood of the harm occurring i</w:t>
      </w:r>
      <w:r w:rsidR="003E22D9" w:rsidRPr="005524FF">
        <w:rPr>
          <w:rFonts w:ascii="Arial" w:hAnsi="Arial" w:cs="Arial"/>
        </w:rPr>
        <w:t xml:space="preserve">n the individual case. For example, </w:t>
      </w:r>
      <w:r w:rsidRPr="005524FF">
        <w:rPr>
          <w:rFonts w:ascii="Arial" w:hAnsi="Arial" w:cs="Arial"/>
        </w:rPr>
        <w:t xml:space="preserve">disclosure might be justified where there is a high likelihood of harm to the life of </w:t>
      </w:r>
      <w:proofErr w:type="gramStart"/>
      <w:r w:rsidRPr="005524FF">
        <w:rPr>
          <w:rFonts w:ascii="Arial" w:hAnsi="Arial" w:cs="Arial"/>
        </w:rPr>
        <w:t>another, but</w:t>
      </w:r>
      <w:proofErr w:type="gramEnd"/>
      <w:r w:rsidRPr="005524FF">
        <w:rPr>
          <w:rFonts w:ascii="Arial" w:hAnsi="Arial" w:cs="Arial"/>
        </w:rPr>
        <w:t xml:space="preserve"> not necessarily justified where there is a low likelihood of harm.</w:t>
      </w:r>
    </w:p>
    <w:p w14:paraId="4F584696" w14:textId="77777777" w:rsidR="00E71F2A" w:rsidRPr="005524FF" w:rsidRDefault="009D70E7" w:rsidP="009D70E7">
      <w:pPr>
        <w:jc w:val="both"/>
        <w:rPr>
          <w:rFonts w:ascii="Arial" w:hAnsi="Arial" w:cs="Arial"/>
        </w:rPr>
      </w:pPr>
      <w:r w:rsidRPr="005524FF">
        <w:rPr>
          <w:rFonts w:ascii="Arial" w:hAnsi="Arial" w:cs="Arial"/>
        </w:rPr>
        <w:t>• The</w:t>
      </w:r>
      <w:r w:rsidR="003E22D9" w:rsidRPr="005524FF">
        <w:rPr>
          <w:rFonts w:ascii="Arial" w:hAnsi="Arial" w:cs="Arial"/>
        </w:rPr>
        <w:t xml:space="preserve"> imminence of the harm. For example,</w:t>
      </w:r>
      <w:r w:rsidRPr="005524FF">
        <w:rPr>
          <w:rFonts w:ascii="Arial" w:hAnsi="Arial" w:cs="Arial"/>
        </w:rPr>
        <w:t xml:space="preserve"> disclosure might be justified where protection of the</w:t>
      </w:r>
      <w:r w:rsidR="003E22D9" w:rsidRPr="005524FF">
        <w:rPr>
          <w:rFonts w:ascii="Arial" w:hAnsi="Arial" w:cs="Arial"/>
        </w:rPr>
        <w:t xml:space="preserve"> service user or</w:t>
      </w:r>
      <w:r w:rsidRPr="005524FF">
        <w:rPr>
          <w:rFonts w:ascii="Arial" w:hAnsi="Arial" w:cs="Arial"/>
        </w:rPr>
        <w:t xml:space="preserve"> third party requires immediate action, but not where there is no more than a possibility that at some future point the service user might pose a threat to </w:t>
      </w:r>
      <w:r w:rsidR="003E22D9" w:rsidRPr="005524FF">
        <w:rPr>
          <w:rFonts w:ascii="Arial" w:hAnsi="Arial" w:cs="Arial"/>
        </w:rPr>
        <w:t xml:space="preserve">self or </w:t>
      </w:r>
      <w:r w:rsidRPr="005524FF">
        <w:rPr>
          <w:rFonts w:ascii="Arial" w:hAnsi="Arial" w:cs="Arial"/>
        </w:rPr>
        <w:t>another.</w:t>
      </w:r>
    </w:p>
    <w:p w14:paraId="4F584697" w14:textId="77777777" w:rsidR="00E71F2A" w:rsidRPr="005524FF" w:rsidRDefault="009D70E7" w:rsidP="009D70E7">
      <w:pPr>
        <w:jc w:val="both"/>
        <w:rPr>
          <w:rFonts w:ascii="Arial" w:hAnsi="Arial" w:cs="Arial"/>
        </w:rPr>
      </w:pPr>
      <w:r w:rsidRPr="005524FF">
        <w:rPr>
          <w:rFonts w:ascii="Arial" w:hAnsi="Arial" w:cs="Arial"/>
        </w:rPr>
        <w:t xml:space="preserve">• The existence of an appropriate person to whom disclosure can be considered. </w:t>
      </w:r>
    </w:p>
    <w:p w14:paraId="4F584698" w14:textId="77777777" w:rsidR="009D70E7" w:rsidRPr="005524FF" w:rsidRDefault="009D70E7" w:rsidP="009D70E7">
      <w:pPr>
        <w:jc w:val="both"/>
        <w:rPr>
          <w:rFonts w:ascii="Arial" w:hAnsi="Arial" w:cs="Arial"/>
        </w:rPr>
      </w:pPr>
      <w:r w:rsidRPr="005524FF">
        <w:rPr>
          <w:rFonts w:ascii="Arial" w:hAnsi="Arial" w:cs="Arial"/>
        </w:rPr>
        <w:lastRenderedPageBreak/>
        <w:t xml:space="preserve">• The necessity of the disclosure to avert the harm, that is, where there is no reasonable possibility of averting the harm without disclosure. </w:t>
      </w:r>
    </w:p>
    <w:p w14:paraId="4F584699" w14:textId="77777777" w:rsidR="009D70E7" w:rsidRPr="00E71F2A" w:rsidRDefault="00E71F2A" w:rsidP="009D70E7">
      <w:pPr>
        <w:jc w:val="both"/>
        <w:rPr>
          <w:rFonts w:ascii="Arial" w:hAnsi="Arial" w:cs="Arial"/>
        </w:rPr>
      </w:pPr>
      <w:r w:rsidRPr="005524FF">
        <w:rPr>
          <w:rFonts w:ascii="Arial" w:hAnsi="Arial" w:cs="Arial"/>
        </w:rPr>
        <w:t>• The</w:t>
      </w:r>
      <w:r w:rsidR="009D70E7" w:rsidRPr="005524FF">
        <w:rPr>
          <w:rFonts w:ascii="Arial" w:hAnsi="Arial" w:cs="Arial"/>
        </w:rPr>
        <w:t xml:space="preserve"> likelihood that disclosure can avert th</w:t>
      </w:r>
      <w:r w:rsidRPr="005524FF">
        <w:rPr>
          <w:rFonts w:ascii="Arial" w:hAnsi="Arial" w:cs="Arial"/>
        </w:rPr>
        <w:t>e harm, which requires satisfaction</w:t>
      </w:r>
      <w:r w:rsidR="009D70E7" w:rsidRPr="005524FF">
        <w:rPr>
          <w:rFonts w:ascii="Arial" w:hAnsi="Arial" w:cs="Arial"/>
        </w:rPr>
        <w:t xml:space="preserve"> that the harm to the </w:t>
      </w:r>
      <w:r w:rsidR="003E22D9" w:rsidRPr="005524FF">
        <w:rPr>
          <w:rFonts w:ascii="Arial" w:hAnsi="Arial" w:cs="Arial"/>
        </w:rPr>
        <w:t xml:space="preserve">service user, </w:t>
      </w:r>
      <w:r w:rsidR="009D70E7" w:rsidRPr="005524FF">
        <w:rPr>
          <w:rFonts w:ascii="Arial" w:hAnsi="Arial" w:cs="Arial"/>
        </w:rPr>
        <w:t>third party or to the public interest is sufficiently likely to be averted by disclosure.</w:t>
      </w:r>
    </w:p>
    <w:p w14:paraId="4F58469A" w14:textId="77777777" w:rsidR="00787A50" w:rsidRDefault="00787A50" w:rsidP="00B92307">
      <w:pPr>
        <w:jc w:val="both"/>
        <w:rPr>
          <w:rFonts w:ascii="Arial" w:hAnsi="Arial" w:cs="Arial"/>
        </w:rPr>
      </w:pPr>
    </w:p>
    <w:p w14:paraId="4F58469D" w14:textId="5E84B02B" w:rsidR="00CD06B7" w:rsidRPr="002B3FCD" w:rsidRDefault="00CD06B7" w:rsidP="00B92307">
      <w:pPr>
        <w:jc w:val="both"/>
        <w:rPr>
          <w:rFonts w:ascii="Arial" w:hAnsi="Arial" w:cs="Arial"/>
          <w:color w:val="EE0000"/>
        </w:rPr>
      </w:pPr>
      <w:r w:rsidRPr="002B3FCD">
        <w:rPr>
          <w:rFonts w:ascii="Arial" w:hAnsi="Arial" w:cs="Arial"/>
        </w:rPr>
        <w:t xml:space="preserve">Written notes of the discussion </w:t>
      </w:r>
      <w:r w:rsidR="00407F72" w:rsidRPr="002B3FCD">
        <w:rPr>
          <w:rFonts w:ascii="Arial" w:hAnsi="Arial" w:cs="Arial"/>
        </w:rPr>
        <w:t xml:space="preserve">will </w:t>
      </w:r>
      <w:r w:rsidR="008666D3" w:rsidRPr="002B3FCD">
        <w:rPr>
          <w:rFonts w:ascii="Arial" w:hAnsi="Arial" w:cs="Arial"/>
        </w:rPr>
        <w:t xml:space="preserve">be taken by the </w:t>
      </w:r>
      <w:r w:rsidR="00681268" w:rsidRPr="002B3FCD">
        <w:rPr>
          <w:rFonts w:ascii="Arial" w:hAnsi="Arial" w:cs="Arial"/>
        </w:rPr>
        <w:t xml:space="preserve">Manager </w:t>
      </w:r>
      <w:r w:rsidR="00DE3142" w:rsidRPr="002B3FCD">
        <w:rPr>
          <w:rFonts w:ascii="Arial" w:hAnsi="Arial" w:cs="Arial"/>
        </w:rPr>
        <w:t>leading on</w:t>
      </w:r>
      <w:r w:rsidR="002E1AF6" w:rsidRPr="002B3FCD">
        <w:rPr>
          <w:rFonts w:ascii="Arial" w:hAnsi="Arial" w:cs="Arial"/>
        </w:rPr>
        <w:t xml:space="preserve"> the breach</w:t>
      </w:r>
      <w:r w:rsidR="002B3FCD" w:rsidRPr="002B3FCD">
        <w:rPr>
          <w:rFonts w:ascii="Arial" w:hAnsi="Arial" w:cs="Arial"/>
        </w:rPr>
        <w:t>.</w:t>
      </w:r>
      <w:r w:rsidR="002E1AF6" w:rsidRPr="002B3FCD">
        <w:rPr>
          <w:rFonts w:ascii="Arial" w:hAnsi="Arial" w:cs="Arial"/>
        </w:rPr>
        <w:t xml:space="preserve"> </w:t>
      </w:r>
      <w:r w:rsidRPr="002B3FCD">
        <w:rPr>
          <w:rFonts w:ascii="Arial" w:hAnsi="Arial" w:cs="Arial"/>
        </w:rPr>
        <w:t xml:space="preserve">The </w:t>
      </w:r>
      <w:r w:rsidR="00E40C25" w:rsidRPr="002B3FCD">
        <w:rPr>
          <w:rFonts w:ascii="Arial" w:hAnsi="Arial" w:cs="Arial"/>
        </w:rPr>
        <w:t xml:space="preserve">Senior </w:t>
      </w:r>
      <w:r w:rsidR="00C7796E" w:rsidRPr="002B3FCD">
        <w:rPr>
          <w:rFonts w:ascii="Arial" w:hAnsi="Arial" w:cs="Arial"/>
        </w:rPr>
        <w:t xml:space="preserve">Leadership Team, </w:t>
      </w:r>
      <w:r w:rsidR="008666D3" w:rsidRPr="002B3FCD">
        <w:rPr>
          <w:rFonts w:ascii="Arial" w:hAnsi="Arial" w:cs="Arial"/>
        </w:rPr>
        <w:t xml:space="preserve">Chief </w:t>
      </w:r>
      <w:r w:rsidR="00DE3142" w:rsidRPr="002B3FCD">
        <w:rPr>
          <w:rFonts w:ascii="Arial" w:hAnsi="Arial" w:cs="Arial"/>
        </w:rPr>
        <w:t xml:space="preserve">Executive </w:t>
      </w:r>
      <w:r w:rsidR="008666D3" w:rsidRPr="002B3FCD">
        <w:rPr>
          <w:rFonts w:ascii="Arial" w:hAnsi="Arial" w:cs="Arial"/>
        </w:rPr>
        <w:t>Officer</w:t>
      </w:r>
      <w:r w:rsidR="000C23FF" w:rsidRPr="002B3FCD">
        <w:rPr>
          <w:rFonts w:ascii="Arial" w:hAnsi="Arial" w:cs="Arial"/>
        </w:rPr>
        <w:t xml:space="preserve"> </w:t>
      </w:r>
      <w:r w:rsidR="00DE3142" w:rsidRPr="002B3FCD">
        <w:rPr>
          <w:rFonts w:ascii="Arial" w:hAnsi="Arial" w:cs="Arial"/>
        </w:rPr>
        <w:t xml:space="preserve">or </w:t>
      </w:r>
      <w:r w:rsidR="00566E26" w:rsidRPr="002B3FCD">
        <w:rPr>
          <w:rFonts w:ascii="Arial" w:hAnsi="Arial" w:cs="Arial"/>
        </w:rPr>
        <w:t xml:space="preserve">the </w:t>
      </w:r>
      <w:r w:rsidR="000C23FF" w:rsidRPr="002B3FCD">
        <w:rPr>
          <w:rFonts w:ascii="Arial" w:hAnsi="Arial" w:cs="Arial"/>
        </w:rPr>
        <w:t>Chair of Trustees</w:t>
      </w:r>
      <w:r w:rsidRPr="002B3FCD">
        <w:rPr>
          <w:rFonts w:ascii="Arial" w:hAnsi="Arial" w:cs="Arial"/>
        </w:rPr>
        <w:t xml:space="preserve"> is responsible for </w:t>
      </w:r>
      <w:proofErr w:type="gramStart"/>
      <w:r w:rsidRPr="002B3FCD">
        <w:rPr>
          <w:rFonts w:ascii="Arial" w:hAnsi="Arial" w:cs="Arial"/>
        </w:rPr>
        <w:t>making a decision</w:t>
      </w:r>
      <w:proofErr w:type="gramEnd"/>
      <w:r w:rsidRPr="002B3FCD">
        <w:rPr>
          <w:rFonts w:ascii="Arial" w:hAnsi="Arial" w:cs="Arial"/>
        </w:rPr>
        <w:t xml:space="preserve"> on whether confidentiality is to be breached.</w:t>
      </w:r>
      <w:r w:rsidR="000C23FF" w:rsidRPr="002B3FCD">
        <w:rPr>
          <w:rFonts w:ascii="Arial" w:hAnsi="Arial" w:cs="Arial"/>
        </w:rPr>
        <w:t xml:space="preserve"> Their decision is final and cannot be overridden by the employee. </w:t>
      </w:r>
      <w:r w:rsidRPr="002B3FCD">
        <w:rPr>
          <w:rFonts w:ascii="Arial" w:hAnsi="Arial" w:cs="Arial"/>
        </w:rPr>
        <w:t xml:space="preserve"> If confidentiality is to be breached the followin</w:t>
      </w:r>
      <w:r w:rsidR="000144E9" w:rsidRPr="002B3FCD">
        <w:rPr>
          <w:rFonts w:ascii="Arial" w:hAnsi="Arial" w:cs="Arial"/>
        </w:rPr>
        <w:t xml:space="preserve">g procedure will </w:t>
      </w:r>
      <w:r w:rsidR="000144E9" w:rsidRPr="0E707C01">
        <w:rPr>
          <w:rFonts w:ascii="Arial" w:hAnsi="Arial" w:cs="Arial"/>
        </w:rPr>
        <w:t>be implemented:</w:t>
      </w:r>
    </w:p>
    <w:p w14:paraId="4F58469E" w14:textId="77777777" w:rsidR="00CD06B7" w:rsidRDefault="00CD06B7">
      <w:pPr>
        <w:rPr>
          <w:rFonts w:ascii="Arial" w:hAnsi="Arial" w:cs="Arial"/>
        </w:rPr>
      </w:pPr>
    </w:p>
    <w:p w14:paraId="4F58469F" w14:textId="4C7073CC" w:rsidR="00CD06B7" w:rsidRPr="002B3FCD" w:rsidRDefault="00566E26" w:rsidP="00912D2D">
      <w:pPr>
        <w:numPr>
          <w:ilvl w:val="0"/>
          <w:numId w:val="4"/>
        </w:numPr>
        <w:tabs>
          <w:tab w:val="clear" w:pos="720"/>
          <w:tab w:val="num" w:pos="360"/>
        </w:tabs>
        <w:ind w:left="360"/>
        <w:jc w:val="both"/>
        <w:rPr>
          <w:rFonts w:ascii="Arial" w:hAnsi="Arial" w:cs="Arial"/>
        </w:rPr>
      </w:pPr>
      <w:r w:rsidRPr="002B3FCD">
        <w:rPr>
          <w:rFonts w:ascii="Arial" w:hAnsi="Arial" w:cs="Arial"/>
        </w:rPr>
        <w:t xml:space="preserve">The Senior Leadership Team, Chief Executive Officer </w:t>
      </w:r>
      <w:r w:rsidR="00CD06B7" w:rsidRPr="002B3FCD">
        <w:rPr>
          <w:rFonts w:ascii="Arial" w:hAnsi="Arial" w:cs="Arial"/>
        </w:rPr>
        <w:t xml:space="preserve">will contact the Chair of the </w:t>
      </w:r>
      <w:r w:rsidR="00912D2D" w:rsidRPr="002B3FCD">
        <w:rPr>
          <w:rFonts w:ascii="Arial" w:hAnsi="Arial" w:cs="Arial"/>
        </w:rPr>
        <w:t xml:space="preserve">Board of Trustees </w:t>
      </w:r>
      <w:r w:rsidR="00CD06B7" w:rsidRPr="002B3FCD">
        <w:rPr>
          <w:rFonts w:ascii="Arial" w:hAnsi="Arial" w:cs="Arial"/>
        </w:rPr>
        <w:t xml:space="preserve">in the first instance. </w:t>
      </w:r>
      <w:r w:rsidR="004468B0" w:rsidRPr="002B3FCD">
        <w:rPr>
          <w:rFonts w:ascii="Arial" w:hAnsi="Arial" w:cs="Arial"/>
        </w:rPr>
        <w:t xml:space="preserve"> </w:t>
      </w:r>
      <w:r w:rsidR="00CD06B7" w:rsidRPr="002B3FCD">
        <w:rPr>
          <w:rFonts w:ascii="Arial" w:hAnsi="Arial" w:cs="Arial"/>
        </w:rPr>
        <w:t xml:space="preserve">The </w:t>
      </w:r>
      <w:r w:rsidR="008666D3" w:rsidRPr="002B3FCD">
        <w:rPr>
          <w:rFonts w:ascii="Arial" w:hAnsi="Arial" w:cs="Arial"/>
        </w:rPr>
        <w:t xml:space="preserve">Chief Officer </w:t>
      </w:r>
      <w:r w:rsidR="00CD06B7" w:rsidRPr="002B3FCD">
        <w:rPr>
          <w:rFonts w:ascii="Arial" w:hAnsi="Arial" w:cs="Arial"/>
        </w:rPr>
        <w:t xml:space="preserve">will brief the </w:t>
      </w:r>
      <w:r w:rsidR="00912D2D" w:rsidRPr="002B3FCD">
        <w:rPr>
          <w:rFonts w:ascii="Arial" w:hAnsi="Arial" w:cs="Arial"/>
        </w:rPr>
        <w:t>C</w:t>
      </w:r>
      <w:r w:rsidR="008666D3" w:rsidRPr="002B3FCD">
        <w:rPr>
          <w:rFonts w:ascii="Arial" w:hAnsi="Arial" w:cs="Arial"/>
        </w:rPr>
        <w:t xml:space="preserve">hair </w:t>
      </w:r>
      <w:r w:rsidR="00CD06B7" w:rsidRPr="002B3FCD">
        <w:rPr>
          <w:rFonts w:ascii="Arial" w:hAnsi="Arial" w:cs="Arial"/>
        </w:rPr>
        <w:t xml:space="preserve">on the full facts of the case. </w:t>
      </w:r>
      <w:r w:rsidR="004468B0" w:rsidRPr="002B3FCD">
        <w:rPr>
          <w:rFonts w:ascii="Arial" w:hAnsi="Arial" w:cs="Arial"/>
        </w:rPr>
        <w:t xml:space="preserve"> </w:t>
      </w:r>
      <w:r w:rsidR="008666D3" w:rsidRPr="002B3FCD">
        <w:rPr>
          <w:rFonts w:ascii="Arial" w:hAnsi="Arial" w:cs="Arial"/>
        </w:rPr>
        <w:t xml:space="preserve">The Chief Officer </w:t>
      </w:r>
      <w:r w:rsidR="00CD06B7" w:rsidRPr="002B3FCD">
        <w:rPr>
          <w:rFonts w:ascii="Arial" w:hAnsi="Arial" w:cs="Arial"/>
        </w:rPr>
        <w:t xml:space="preserve">will seek authorisation to breach confidentiality from the Chair or Member of </w:t>
      </w:r>
      <w:r w:rsidR="008666D3" w:rsidRPr="002B3FCD">
        <w:rPr>
          <w:rFonts w:ascii="Arial" w:hAnsi="Arial" w:cs="Arial"/>
        </w:rPr>
        <w:t xml:space="preserve">the </w:t>
      </w:r>
      <w:r w:rsidR="00912D2D" w:rsidRPr="002B3FCD">
        <w:rPr>
          <w:rFonts w:ascii="Arial" w:hAnsi="Arial" w:cs="Arial"/>
        </w:rPr>
        <w:t>Board of Trustees.</w:t>
      </w:r>
    </w:p>
    <w:p w14:paraId="4F5846A0" w14:textId="77777777" w:rsidR="00CD06B7" w:rsidRPr="002B3FCD" w:rsidRDefault="00CD06B7">
      <w:pPr>
        <w:rPr>
          <w:rFonts w:ascii="Arial" w:hAnsi="Arial" w:cs="Arial"/>
        </w:rPr>
      </w:pPr>
    </w:p>
    <w:p w14:paraId="4F5846A1" w14:textId="495B769E" w:rsidR="00CD06B7" w:rsidRPr="002B3FCD" w:rsidRDefault="00CD06B7" w:rsidP="00912D2D">
      <w:pPr>
        <w:numPr>
          <w:ilvl w:val="0"/>
          <w:numId w:val="4"/>
        </w:numPr>
        <w:tabs>
          <w:tab w:val="clear" w:pos="720"/>
          <w:tab w:val="num" w:pos="360"/>
        </w:tabs>
        <w:ind w:left="360"/>
        <w:jc w:val="both"/>
        <w:rPr>
          <w:rFonts w:ascii="Arial" w:hAnsi="Arial" w:cs="Arial"/>
        </w:rPr>
      </w:pPr>
      <w:r w:rsidRPr="002B3FCD">
        <w:rPr>
          <w:rFonts w:ascii="Arial" w:hAnsi="Arial" w:cs="Arial"/>
        </w:rPr>
        <w:t xml:space="preserve">If the Chair of the </w:t>
      </w:r>
      <w:r w:rsidR="00912D2D" w:rsidRPr="002B3FCD">
        <w:rPr>
          <w:rFonts w:ascii="Arial" w:hAnsi="Arial" w:cs="Arial"/>
        </w:rPr>
        <w:t>Board of Trustees</w:t>
      </w:r>
      <w:r w:rsidRPr="002B3FCD">
        <w:rPr>
          <w:rFonts w:ascii="Arial" w:hAnsi="Arial" w:cs="Arial"/>
        </w:rPr>
        <w:t xml:space="preserve"> agrees to breach confidentiality, a full written report will be made and any action agreed undertaken. </w:t>
      </w:r>
      <w:r w:rsidR="004468B0" w:rsidRPr="002B3FCD">
        <w:rPr>
          <w:rFonts w:ascii="Arial" w:hAnsi="Arial" w:cs="Arial"/>
        </w:rPr>
        <w:t xml:space="preserve"> </w:t>
      </w:r>
      <w:r w:rsidRPr="002B3FCD">
        <w:rPr>
          <w:rFonts w:ascii="Arial" w:hAnsi="Arial" w:cs="Arial"/>
        </w:rPr>
        <w:t xml:space="preserve">The </w:t>
      </w:r>
      <w:r w:rsidR="00F05836" w:rsidRPr="002B3FCD">
        <w:rPr>
          <w:rFonts w:ascii="Arial" w:hAnsi="Arial" w:cs="Arial"/>
        </w:rPr>
        <w:t xml:space="preserve">Chief </w:t>
      </w:r>
      <w:r w:rsidR="00630228" w:rsidRPr="002B3FCD">
        <w:rPr>
          <w:rFonts w:ascii="Arial" w:hAnsi="Arial" w:cs="Arial"/>
        </w:rPr>
        <w:t xml:space="preserve">Executive </w:t>
      </w:r>
      <w:r w:rsidR="00F05836" w:rsidRPr="002B3FCD">
        <w:rPr>
          <w:rFonts w:ascii="Arial" w:hAnsi="Arial" w:cs="Arial"/>
        </w:rPr>
        <w:t>Officer</w:t>
      </w:r>
      <w:r w:rsidRPr="002B3FCD">
        <w:rPr>
          <w:rFonts w:ascii="Arial" w:hAnsi="Arial" w:cs="Arial"/>
        </w:rPr>
        <w:t xml:space="preserve"> </w:t>
      </w:r>
      <w:r w:rsidR="00630228" w:rsidRPr="002B3FCD">
        <w:rPr>
          <w:rFonts w:ascii="Arial" w:hAnsi="Arial" w:cs="Arial"/>
        </w:rPr>
        <w:t>or S</w:t>
      </w:r>
      <w:r w:rsidR="00765F0C" w:rsidRPr="002B3FCD">
        <w:rPr>
          <w:rFonts w:ascii="Arial" w:hAnsi="Arial" w:cs="Arial"/>
        </w:rPr>
        <w:t xml:space="preserve">enior </w:t>
      </w:r>
      <w:r w:rsidR="00630228" w:rsidRPr="002B3FCD">
        <w:rPr>
          <w:rFonts w:ascii="Arial" w:hAnsi="Arial" w:cs="Arial"/>
        </w:rPr>
        <w:t>L</w:t>
      </w:r>
      <w:r w:rsidR="00765F0C" w:rsidRPr="002B3FCD">
        <w:rPr>
          <w:rFonts w:ascii="Arial" w:hAnsi="Arial" w:cs="Arial"/>
        </w:rPr>
        <w:t xml:space="preserve">eadership </w:t>
      </w:r>
      <w:r w:rsidR="00630228" w:rsidRPr="002B3FCD">
        <w:rPr>
          <w:rFonts w:ascii="Arial" w:hAnsi="Arial" w:cs="Arial"/>
        </w:rPr>
        <w:t>T</w:t>
      </w:r>
      <w:r w:rsidR="00765F0C" w:rsidRPr="002B3FCD">
        <w:rPr>
          <w:rFonts w:ascii="Arial" w:hAnsi="Arial" w:cs="Arial"/>
        </w:rPr>
        <w:t>eam</w:t>
      </w:r>
      <w:r w:rsidR="00630228" w:rsidRPr="002B3FCD">
        <w:rPr>
          <w:rFonts w:ascii="Arial" w:hAnsi="Arial" w:cs="Arial"/>
        </w:rPr>
        <w:t xml:space="preserve"> </w:t>
      </w:r>
      <w:r w:rsidRPr="002B3FCD">
        <w:rPr>
          <w:rFonts w:ascii="Arial" w:hAnsi="Arial" w:cs="Arial"/>
        </w:rPr>
        <w:t xml:space="preserve">is responsible for ensuring that all necessary </w:t>
      </w:r>
      <w:r w:rsidR="00920BA3" w:rsidRPr="002B3FCD">
        <w:rPr>
          <w:rFonts w:ascii="Arial" w:hAnsi="Arial" w:cs="Arial"/>
        </w:rPr>
        <w:t xml:space="preserve">action </w:t>
      </w:r>
      <w:r w:rsidRPr="002B3FCD">
        <w:rPr>
          <w:rFonts w:ascii="Arial" w:hAnsi="Arial" w:cs="Arial"/>
        </w:rPr>
        <w:t>arising from the decision is completed.</w:t>
      </w:r>
    </w:p>
    <w:p w14:paraId="4F5846A2" w14:textId="77777777" w:rsidR="00CD06B7" w:rsidRPr="002B3FCD" w:rsidRDefault="00CD06B7">
      <w:pPr>
        <w:rPr>
          <w:rFonts w:ascii="Arial" w:hAnsi="Arial" w:cs="Arial"/>
        </w:rPr>
      </w:pPr>
    </w:p>
    <w:p w14:paraId="4F5846A3" w14:textId="38EB30C4" w:rsidR="00912D2D" w:rsidRPr="00BA2BDF" w:rsidRDefault="00912D2D" w:rsidP="00962DA2">
      <w:pPr>
        <w:numPr>
          <w:ilvl w:val="0"/>
          <w:numId w:val="4"/>
        </w:numPr>
        <w:tabs>
          <w:tab w:val="clear" w:pos="720"/>
          <w:tab w:val="num" w:pos="426"/>
        </w:tabs>
        <w:ind w:left="426" w:hanging="426"/>
        <w:jc w:val="both"/>
        <w:rPr>
          <w:rFonts w:ascii="Arial" w:hAnsi="Arial" w:cs="Arial"/>
        </w:rPr>
      </w:pPr>
      <w:r w:rsidRPr="002B3FCD">
        <w:rPr>
          <w:rFonts w:ascii="Arial" w:hAnsi="Arial" w:cs="Arial"/>
        </w:rPr>
        <w:t xml:space="preserve">The Chief </w:t>
      </w:r>
      <w:r w:rsidR="00DE3142" w:rsidRPr="002B3FCD">
        <w:rPr>
          <w:rFonts w:ascii="Arial" w:hAnsi="Arial" w:cs="Arial"/>
        </w:rPr>
        <w:t xml:space="preserve">Executive </w:t>
      </w:r>
      <w:r w:rsidRPr="002B3FCD">
        <w:rPr>
          <w:rFonts w:ascii="Arial" w:hAnsi="Arial" w:cs="Arial"/>
        </w:rPr>
        <w:t>Officer</w:t>
      </w:r>
      <w:r w:rsidR="006F713B" w:rsidRPr="002B3FCD">
        <w:rPr>
          <w:rFonts w:ascii="Arial" w:hAnsi="Arial" w:cs="Arial"/>
        </w:rPr>
        <w:t>,</w:t>
      </w:r>
      <w:r w:rsidR="002B3FCD">
        <w:rPr>
          <w:rFonts w:ascii="Arial" w:hAnsi="Arial" w:cs="Arial"/>
        </w:rPr>
        <w:t xml:space="preserve"> </w:t>
      </w:r>
      <w:r w:rsidR="00630228" w:rsidRPr="002B3FCD">
        <w:rPr>
          <w:rFonts w:ascii="Arial" w:hAnsi="Arial" w:cs="Arial"/>
        </w:rPr>
        <w:t>S</w:t>
      </w:r>
      <w:r w:rsidR="00765F0C" w:rsidRPr="002B3FCD">
        <w:rPr>
          <w:rFonts w:ascii="Arial" w:hAnsi="Arial" w:cs="Arial"/>
        </w:rPr>
        <w:t xml:space="preserve">enior </w:t>
      </w:r>
      <w:r w:rsidR="002B3FCD" w:rsidRPr="002B3FCD">
        <w:rPr>
          <w:rFonts w:ascii="Arial" w:hAnsi="Arial" w:cs="Arial"/>
        </w:rPr>
        <w:t>Leadership</w:t>
      </w:r>
      <w:r w:rsidR="00765F0C" w:rsidRPr="002B3FCD">
        <w:rPr>
          <w:rFonts w:ascii="Arial" w:hAnsi="Arial" w:cs="Arial"/>
        </w:rPr>
        <w:t xml:space="preserve"> </w:t>
      </w:r>
      <w:r w:rsidR="00630228" w:rsidRPr="002B3FCD">
        <w:rPr>
          <w:rFonts w:ascii="Arial" w:hAnsi="Arial" w:cs="Arial"/>
        </w:rPr>
        <w:t>T</w:t>
      </w:r>
      <w:r w:rsidR="00765F0C" w:rsidRPr="002B3FCD">
        <w:rPr>
          <w:rFonts w:ascii="Arial" w:hAnsi="Arial" w:cs="Arial"/>
        </w:rPr>
        <w:t>eam</w:t>
      </w:r>
      <w:r w:rsidR="00630228" w:rsidRPr="002B3FCD">
        <w:rPr>
          <w:rFonts w:ascii="Arial" w:hAnsi="Arial" w:cs="Arial"/>
        </w:rPr>
        <w:t xml:space="preserve"> </w:t>
      </w:r>
      <w:r w:rsidR="006F713B" w:rsidRPr="002B3FCD">
        <w:rPr>
          <w:rFonts w:ascii="Arial" w:hAnsi="Arial" w:cs="Arial"/>
        </w:rPr>
        <w:t>or</w:t>
      </w:r>
      <w:r w:rsidRPr="002B3FCD">
        <w:rPr>
          <w:rFonts w:ascii="Arial" w:hAnsi="Arial" w:cs="Arial"/>
        </w:rPr>
        <w:t xml:space="preserve"> Chair of the Board of Trustees will </w:t>
      </w:r>
      <w:proofErr w:type="gramStart"/>
      <w:r w:rsidRPr="002B3FCD">
        <w:rPr>
          <w:rFonts w:ascii="Arial" w:hAnsi="Arial" w:cs="Arial"/>
        </w:rPr>
        <w:t>make a decision</w:t>
      </w:r>
      <w:proofErr w:type="gramEnd"/>
      <w:r w:rsidRPr="002B3FCD">
        <w:rPr>
          <w:rFonts w:ascii="Arial" w:hAnsi="Arial" w:cs="Arial"/>
        </w:rPr>
        <w:t xml:space="preserve"> as </w:t>
      </w:r>
      <w:r w:rsidRPr="0E707C01">
        <w:rPr>
          <w:rFonts w:ascii="Arial" w:hAnsi="Arial" w:cs="Arial"/>
        </w:rPr>
        <w:t>to whether it is appropriate to disclose the breach of confidentiality to the service user</w:t>
      </w:r>
      <w:r w:rsidR="00D55120" w:rsidRPr="0E707C01">
        <w:rPr>
          <w:rFonts w:ascii="Arial" w:hAnsi="Arial" w:cs="Arial"/>
        </w:rPr>
        <w:t xml:space="preserve"> even though the disclosure does not need their consent to be justified. C</w:t>
      </w:r>
      <w:r w:rsidRPr="0E707C01">
        <w:rPr>
          <w:rFonts w:ascii="Arial" w:hAnsi="Arial" w:cs="Arial"/>
        </w:rPr>
        <w:t>onsideration</w:t>
      </w:r>
      <w:r w:rsidR="00D55120" w:rsidRPr="0E707C01">
        <w:rPr>
          <w:rFonts w:ascii="Arial" w:hAnsi="Arial" w:cs="Arial"/>
        </w:rPr>
        <w:t xml:space="preserve"> will include</w:t>
      </w:r>
      <w:r w:rsidRPr="0E707C01">
        <w:rPr>
          <w:rFonts w:ascii="Arial" w:hAnsi="Arial" w:cs="Arial"/>
        </w:rPr>
        <w:t xml:space="preserve"> any </w:t>
      </w:r>
      <w:r w:rsidR="00D55120" w:rsidRPr="0E707C01">
        <w:rPr>
          <w:rFonts w:ascii="Arial" w:hAnsi="Arial" w:cs="Arial"/>
        </w:rPr>
        <w:t>legal obligations</w:t>
      </w:r>
      <w:r w:rsidR="00874D1C" w:rsidRPr="0E707C01">
        <w:rPr>
          <w:rFonts w:ascii="Arial" w:hAnsi="Arial" w:cs="Arial"/>
        </w:rPr>
        <w:t>,</w:t>
      </w:r>
      <w:r w:rsidR="00D55120" w:rsidRPr="0E707C01">
        <w:rPr>
          <w:rFonts w:ascii="Arial" w:hAnsi="Arial" w:cs="Arial"/>
        </w:rPr>
        <w:t xml:space="preserve"> the</w:t>
      </w:r>
      <w:r w:rsidR="00874D1C" w:rsidRPr="0E707C01">
        <w:rPr>
          <w:rFonts w:ascii="Arial" w:hAnsi="Arial" w:cs="Arial"/>
        </w:rPr>
        <w:t xml:space="preserve"> </w:t>
      </w:r>
      <w:r w:rsidRPr="0E707C01">
        <w:rPr>
          <w:rFonts w:ascii="Arial" w:hAnsi="Arial" w:cs="Arial"/>
        </w:rPr>
        <w:t xml:space="preserve">potential risks involved </w:t>
      </w:r>
      <w:r w:rsidR="00D55120" w:rsidRPr="0E707C01">
        <w:rPr>
          <w:rFonts w:ascii="Arial" w:hAnsi="Arial" w:cs="Arial"/>
        </w:rPr>
        <w:t xml:space="preserve">of exposing the breach </w:t>
      </w:r>
      <w:r w:rsidR="00703772" w:rsidRPr="0E707C01">
        <w:rPr>
          <w:rFonts w:ascii="Arial" w:hAnsi="Arial" w:cs="Arial"/>
        </w:rPr>
        <w:t>and The Bond Board’s commitment to maintaining relationships</w:t>
      </w:r>
      <w:r w:rsidRPr="0E707C01">
        <w:rPr>
          <w:rFonts w:ascii="Arial" w:hAnsi="Arial" w:cs="Arial"/>
        </w:rPr>
        <w:t xml:space="preserve"> of </w:t>
      </w:r>
      <w:r w:rsidR="00D55120" w:rsidRPr="0E707C01">
        <w:rPr>
          <w:rFonts w:ascii="Arial" w:hAnsi="Arial" w:cs="Arial"/>
        </w:rPr>
        <w:t xml:space="preserve">transparency and </w:t>
      </w:r>
      <w:r w:rsidRPr="0E707C01">
        <w:rPr>
          <w:rFonts w:ascii="Arial" w:hAnsi="Arial" w:cs="Arial"/>
        </w:rPr>
        <w:t>trust</w:t>
      </w:r>
      <w:r w:rsidR="00703772" w:rsidRPr="0E707C01">
        <w:rPr>
          <w:rFonts w:ascii="Arial" w:hAnsi="Arial" w:cs="Arial"/>
        </w:rPr>
        <w:t xml:space="preserve"> with their</w:t>
      </w:r>
      <w:r w:rsidR="00D55120" w:rsidRPr="0E707C01">
        <w:rPr>
          <w:rFonts w:ascii="Arial" w:hAnsi="Arial" w:cs="Arial"/>
        </w:rPr>
        <w:t xml:space="preserve"> service user</w:t>
      </w:r>
      <w:r w:rsidR="00703772" w:rsidRPr="0E707C01">
        <w:rPr>
          <w:rFonts w:ascii="Arial" w:hAnsi="Arial" w:cs="Arial"/>
        </w:rPr>
        <w:t>s</w:t>
      </w:r>
      <w:r w:rsidRPr="0E707C01">
        <w:rPr>
          <w:rFonts w:ascii="Arial" w:hAnsi="Arial" w:cs="Arial"/>
        </w:rPr>
        <w:t>.</w:t>
      </w:r>
    </w:p>
    <w:p w14:paraId="4F5846A4" w14:textId="77777777" w:rsidR="00912D2D" w:rsidRPr="00BA2BDF" w:rsidRDefault="00912D2D">
      <w:pPr>
        <w:rPr>
          <w:rFonts w:ascii="Arial" w:hAnsi="Arial" w:cs="Arial"/>
        </w:rPr>
      </w:pPr>
    </w:p>
    <w:p w14:paraId="4F5846A5" w14:textId="77777777" w:rsidR="00CD06B7" w:rsidRPr="00BA2BDF" w:rsidRDefault="009D70E7" w:rsidP="009D70E7">
      <w:pPr>
        <w:numPr>
          <w:ilvl w:val="0"/>
          <w:numId w:val="4"/>
        </w:numPr>
        <w:tabs>
          <w:tab w:val="clear" w:pos="720"/>
          <w:tab w:val="num" w:pos="360"/>
        </w:tabs>
        <w:ind w:left="360"/>
        <w:jc w:val="both"/>
        <w:rPr>
          <w:rFonts w:ascii="Arial" w:hAnsi="Arial" w:cs="Arial"/>
        </w:rPr>
      </w:pPr>
      <w:r w:rsidRPr="0E707C01">
        <w:rPr>
          <w:rFonts w:ascii="Arial" w:hAnsi="Arial" w:cs="Arial"/>
        </w:rPr>
        <w:t>T</w:t>
      </w:r>
      <w:r w:rsidR="00CD06B7" w:rsidRPr="0E707C01">
        <w:rPr>
          <w:rFonts w:ascii="Arial" w:hAnsi="Arial" w:cs="Arial"/>
        </w:rPr>
        <w:t xml:space="preserve">he Chair </w:t>
      </w:r>
      <w:r w:rsidRPr="0E707C01">
        <w:rPr>
          <w:rFonts w:ascii="Arial" w:hAnsi="Arial" w:cs="Arial"/>
        </w:rPr>
        <w:t xml:space="preserve">of the Board of Trustees decision is final. </w:t>
      </w:r>
    </w:p>
    <w:p w14:paraId="4F5846A6" w14:textId="77777777" w:rsidR="00F05836" w:rsidRDefault="00F05836" w:rsidP="009D70E7">
      <w:pPr>
        <w:jc w:val="both"/>
        <w:rPr>
          <w:rFonts w:ascii="Arial" w:hAnsi="Arial" w:cs="Arial"/>
        </w:rPr>
      </w:pPr>
    </w:p>
    <w:p w14:paraId="4F5846A7" w14:textId="0CB110F2" w:rsidR="00CD06B7" w:rsidRDefault="00F05836" w:rsidP="009D70E7">
      <w:pPr>
        <w:numPr>
          <w:ilvl w:val="0"/>
          <w:numId w:val="4"/>
        </w:numPr>
        <w:tabs>
          <w:tab w:val="clear" w:pos="720"/>
          <w:tab w:val="num" w:pos="360"/>
        </w:tabs>
        <w:ind w:left="360"/>
        <w:jc w:val="both"/>
        <w:rPr>
          <w:rFonts w:ascii="Arial" w:hAnsi="Arial" w:cs="Arial"/>
        </w:rPr>
      </w:pPr>
      <w:r w:rsidRPr="0E707C01">
        <w:rPr>
          <w:rFonts w:ascii="Arial" w:hAnsi="Arial" w:cs="Arial"/>
        </w:rPr>
        <w:t xml:space="preserve">The </w:t>
      </w:r>
      <w:r w:rsidRPr="002B3FCD">
        <w:rPr>
          <w:rFonts w:ascii="Arial" w:hAnsi="Arial" w:cs="Arial"/>
        </w:rPr>
        <w:t xml:space="preserve">Chief </w:t>
      </w:r>
      <w:r w:rsidR="00630228" w:rsidRPr="002B3FCD">
        <w:rPr>
          <w:rFonts w:ascii="Arial" w:hAnsi="Arial" w:cs="Arial"/>
        </w:rPr>
        <w:t xml:space="preserve">Executive </w:t>
      </w:r>
      <w:r w:rsidRPr="002B3FCD">
        <w:rPr>
          <w:rFonts w:ascii="Arial" w:hAnsi="Arial" w:cs="Arial"/>
        </w:rPr>
        <w:t>Officer</w:t>
      </w:r>
      <w:r w:rsidR="00630228" w:rsidRPr="002B3FCD">
        <w:rPr>
          <w:rFonts w:ascii="Arial" w:hAnsi="Arial" w:cs="Arial"/>
        </w:rPr>
        <w:t xml:space="preserve"> or S</w:t>
      </w:r>
      <w:r w:rsidR="006F713B" w:rsidRPr="002B3FCD">
        <w:rPr>
          <w:rFonts w:ascii="Arial" w:hAnsi="Arial" w:cs="Arial"/>
        </w:rPr>
        <w:t xml:space="preserve">enior </w:t>
      </w:r>
      <w:r w:rsidR="002B3FCD" w:rsidRPr="002B3FCD">
        <w:rPr>
          <w:rFonts w:ascii="Arial" w:hAnsi="Arial" w:cs="Arial"/>
        </w:rPr>
        <w:t>Leadership</w:t>
      </w:r>
      <w:r w:rsidR="006F713B" w:rsidRPr="002B3FCD">
        <w:rPr>
          <w:rFonts w:ascii="Arial" w:hAnsi="Arial" w:cs="Arial"/>
        </w:rPr>
        <w:t xml:space="preserve"> </w:t>
      </w:r>
      <w:r w:rsidR="00630228" w:rsidRPr="002B3FCD">
        <w:rPr>
          <w:rFonts w:ascii="Arial" w:hAnsi="Arial" w:cs="Arial"/>
        </w:rPr>
        <w:t>T</w:t>
      </w:r>
      <w:r w:rsidR="006F713B" w:rsidRPr="002B3FCD">
        <w:rPr>
          <w:rFonts w:ascii="Arial" w:hAnsi="Arial" w:cs="Arial"/>
        </w:rPr>
        <w:t>eam</w:t>
      </w:r>
      <w:r w:rsidRPr="002B3FCD">
        <w:rPr>
          <w:rFonts w:ascii="Arial" w:hAnsi="Arial" w:cs="Arial"/>
        </w:rPr>
        <w:t xml:space="preserve"> </w:t>
      </w:r>
      <w:r w:rsidR="00CD06B7" w:rsidRPr="002B3FCD">
        <w:rPr>
          <w:rFonts w:ascii="Arial" w:hAnsi="Arial" w:cs="Arial"/>
        </w:rPr>
        <w:t>is responsible for maintaining a file containing relevant paperwork as outlined above in relation to such issues of confidentiality.</w:t>
      </w:r>
    </w:p>
    <w:p w14:paraId="4F5846A8" w14:textId="77777777" w:rsidR="00CD06B7" w:rsidRDefault="00CD06B7" w:rsidP="009D70E7">
      <w:pPr>
        <w:jc w:val="both"/>
        <w:rPr>
          <w:rFonts w:ascii="Arial" w:hAnsi="Arial" w:cs="Arial"/>
        </w:rPr>
      </w:pPr>
    </w:p>
    <w:p w14:paraId="4F5846A9" w14:textId="3FB4B735" w:rsidR="00920BA3" w:rsidRDefault="00920BA3" w:rsidP="009D70E7">
      <w:pPr>
        <w:jc w:val="both"/>
        <w:rPr>
          <w:rFonts w:ascii="Arial" w:hAnsi="Arial" w:cs="Arial"/>
        </w:rPr>
      </w:pPr>
      <w:r w:rsidRPr="0E707C01">
        <w:rPr>
          <w:rFonts w:ascii="Arial" w:hAnsi="Arial" w:cs="Arial"/>
        </w:rPr>
        <w:t>Any breaches of confidentiality that do not meet these circumstances, or where this procedure is not followed will potentially be regarded as serious misconduct and as such may result in disciplinary action.</w:t>
      </w:r>
      <w:r w:rsidR="005C43CE" w:rsidRPr="0E707C01">
        <w:rPr>
          <w:rFonts w:ascii="Arial" w:hAnsi="Arial" w:cs="Arial"/>
        </w:rPr>
        <w:t xml:space="preserve"> All employees are obligated to raise and report</w:t>
      </w:r>
      <w:r w:rsidR="00703772" w:rsidRPr="0E707C01">
        <w:rPr>
          <w:rFonts w:ascii="Arial" w:hAnsi="Arial" w:cs="Arial"/>
        </w:rPr>
        <w:t xml:space="preserve"> any concerns they have </w:t>
      </w:r>
      <w:r w:rsidR="00F45A15" w:rsidRPr="0E707C01">
        <w:rPr>
          <w:rFonts w:ascii="Arial" w:hAnsi="Arial" w:cs="Arial"/>
        </w:rPr>
        <w:t>about unauthorised</w:t>
      </w:r>
      <w:r w:rsidR="005C43CE" w:rsidRPr="0E707C01">
        <w:rPr>
          <w:rFonts w:ascii="Arial" w:hAnsi="Arial" w:cs="Arial"/>
        </w:rPr>
        <w:t xml:space="preserve"> breach</w:t>
      </w:r>
      <w:r w:rsidR="00703772" w:rsidRPr="0E707C01">
        <w:rPr>
          <w:rFonts w:ascii="Arial" w:hAnsi="Arial" w:cs="Arial"/>
        </w:rPr>
        <w:t>es</w:t>
      </w:r>
      <w:r w:rsidR="005C43CE" w:rsidRPr="0E707C01">
        <w:rPr>
          <w:rFonts w:ascii="Arial" w:hAnsi="Arial" w:cs="Arial"/>
        </w:rPr>
        <w:t xml:space="preserve"> of confident</w:t>
      </w:r>
      <w:r w:rsidR="00703772" w:rsidRPr="0E707C01">
        <w:rPr>
          <w:rFonts w:ascii="Arial" w:hAnsi="Arial" w:cs="Arial"/>
        </w:rPr>
        <w:t xml:space="preserve">iality to </w:t>
      </w:r>
      <w:r w:rsidR="005C43CE" w:rsidRPr="0E707C01">
        <w:rPr>
          <w:rFonts w:ascii="Arial" w:hAnsi="Arial" w:cs="Arial"/>
        </w:rPr>
        <w:t xml:space="preserve">the </w:t>
      </w:r>
      <w:r w:rsidR="003853D0">
        <w:rPr>
          <w:rFonts w:ascii="Arial" w:hAnsi="Arial" w:cs="Arial"/>
        </w:rPr>
        <w:t xml:space="preserve">Senior Leadership Team or </w:t>
      </w:r>
      <w:r w:rsidR="005C43CE" w:rsidRPr="002B3FCD">
        <w:rPr>
          <w:rFonts w:ascii="Arial" w:hAnsi="Arial" w:cs="Arial"/>
        </w:rPr>
        <w:t xml:space="preserve">Chief </w:t>
      </w:r>
      <w:r w:rsidR="00630228" w:rsidRPr="002B3FCD">
        <w:rPr>
          <w:rFonts w:ascii="Arial" w:hAnsi="Arial" w:cs="Arial"/>
        </w:rPr>
        <w:t xml:space="preserve">Executive </w:t>
      </w:r>
      <w:r w:rsidR="005C43CE" w:rsidRPr="0E707C01">
        <w:rPr>
          <w:rFonts w:ascii="Arial" w:hAnsi="Arial" w:cs="Arial"/>
        </w:rPr>
        <w:t>Officer</w:t>
      </w:r>
      <w:r w:rsidR="003853D0">
        <w:rPr>
          <w:rFonts w:ascii="Arial" w:hAnsi="Arial" w:cs="Arial"/>
        </w:rPr>
        <w:t>.</w:t>
      </w:r>
    </w:p>
    <w:p w14:paraId="4F5846AA" w14:textId="77777777" w:rsidR="00274132" w:rsidRDefault="00274132" w:rsidP="009D70E7">
      <w:pPr>
        <w:jc w:val="both"/>
        <w:rPr>
          <w:rFonts w:ascii="Arial" w:hAnsi="Arial" w:cs="Arial"/>
        </w:rPr>
      </w:pPr>
    </w:p>
    <w:p w14:paraId="3BD78247" w14:textId="2288BB5F" w:rsidR="0FB351A6" w:rsidRDefault="0FB351A6" w:rsidP="0FB351A6">
      <w:pPr>
        <w:jc w:val="both"/>
        <w:rPr>
          <w:rFonts w:ascii="Arial" w:hAnsi="Arial" w:cs="Arial"/>
        </w:rPr>
      </w:pPr>
    </w:p>
    <w:p w14:paraId="4F5846AC" w14:textId="77777777" w:rsidR="00CD06B7" w:rsidRPr="00BA2BDF" w:rsidRDefault="00CD06B7">
      <w:pPr>
        <w:pStyle w:val="Heading3"/>
      </w:pPr>
      <w:r w:rsidRPr="00BA2BDF">
        <w:t>Monitoring the Policy</w:t>
      </w:r>
    </w:p>
    <w:p w14:paraId="4F5846AD" w14:textId="77777777" w:rsidR="00CD06B7" w:rsidRPr="00BA2BDF" w:rsidRDefault="00CD06B7" w:rsidP="00F45A15">
      <w:pPr>
        <w:jc w:val="both"/>
      </w:pPr>
    </w:p>
    <w:p w14:paraId="4F5846B0" w14:textId="7CC3485E" w:rsidR="00630228" w:rsidRPr="00630228" w:rsidRDefault="00CD06B7" w:rsidP="0FB351A6">
      <w:pPr>
        <w:jc w:val="both"/>
        <w:rPr>
          <w:rFonts w:ascii="Arial" w:hAnsi="Arial" w:cs="Arial"/>
        </w:rPr>
      </w:pPr>
      <w:r w:rsidRPr="00BA2BDF">
        <w:rPr>
          <w:rFonts w:ascii="Arial" w:hAnsi="Arial" w:cs="Arial"/>
        </w:rPr>
        <w:t xml:space="preserve">All </w:t>
      </w:r>
      <w:r w:rsidR="00BD0C1F" w:rsidRPr="00BA2BDF">
        <w:rPr>
          <w:rFonts w:ascii="Arial" w:hAnsi="Arial" w:cs="Arial"/>
        </w:rPr>
        <w:t>Board of Trustee</w:t>
      </w:r>
      <w:r w:rsidR="008407A0" w:rsidRPr="00BA2BDF">
        <w:rPr>
          <w:rFonts w:ascii="Arial" w:hAnsi="Arial" w:cs="Arial"/>
        </w:rPr>
        <w:t>s</w:t>
      </w:r>
      <w:r w:rsidR="00F70C94">
        <w:rPr>
          <w:rFonts w:ascii="Arial" w:hAnsi="Arial" w:cs="Arial"/>
        </w:rPr>
        <w:t xml:space="preserve">, </w:t>
      </w:r>
      <w:r w:rsidRPr="00BA2BDF">
        <w:rPr>
          <w:rFonts w:ascii="Arial" w:hAnsi="Arial" w:cs="Arial"/>
        </w:rPr>
        <w:t xml:space="preserve">staff members </w:t>
      </w:r>
      <w:r w:rsidR="00F70C94" w:rsidRPr="002B3FCD">
        <w:rPr>
          <w:rFonts w:ascii="Arial" w:hAnsi="Arial" w:cs="Arial"/>
        </w:rPr>
        <w:t xml:space="preserve">and Volunteers </w:t>
      </w:r>
      <w:r w:rsidRPr="002B3FCD">
        <w:rPr>
          <w:rFonts w:ascii="Arial" w:hAnsi="Arial" w:cs="Arial"/>
        </w:rPr>
        <w:t xml:space="preserve">will receive a copy of the Confidentiality Policy. </w:t>
      </w:r>
      <w:r w:rsidR="004468B0" w:rsidRPr="002B3FCD">
        <w:rPr>
          <w:rFonts w:ascii="Arial" w:hAnsi="Arial" w:cs="Arial"/>
        </w:rPr>
        <w:t xml:space="preserve"> </w:t>
      </w:r>
      <w:r w:rsidRPr="002B3FCD">
        <w:rPr>
          <w:rFonts w:ascii="Arial" w:hAnsi="Arial" w:cs="Arial"/>
        </w:rPr>
        <w:t xml:space="preserve">New Members of staff </w:t>
      </w:r>
      <w:r w:rsidR="00BF0F90" w:rsidRPr="002B3FCD">
        <w:rPr>
          <w:rFonts w:ascii="Arial" w:hAnsi="Arial" w:cs="Arial"/>
        </w:rPr>
        <w:t xml:space="preserve">and Volunteers </w:t>
      </w:r>
      <w:r w:rsidRPr="002B3FCD">
        <w:rPr>
          <w:rFonts w:ascii="Arial" w:hAnsi="Arial" w:cs="Arial"/>
        </w:rPr>
        <w:t xml:space="preserve">will </w:t>
      </w:r>
      <w:r w:rsidRPr="00BA2BDF">
        <w:rPr>
          <w:rFonts w:ascii="Arial" w:hAnsi="Arial" w:cs="Arial"/>
        </w:rPr>
        <w:t xml:space="preserve">be given a copy of the Confidentiality Policy and will be introduced to the Confidentiality </w:t>
      </w:r>
      <w:r w:rsidR="0057547B" w:rsidRPr="00BA2BDF">
        <w:rPr>
          <w:rFonts w:ascii="Arial" w:hAnsi="Arial" w:cs="Arial"/>
        </w:rPr>
        <w:t xml:space="preserve">Policy </w:t>
      </w:r>
      <w:r w:rsidRPr="00BA2BDF">
        <w:rPr>
          <w:rFonts w:ascii="Arial" w:hAnsi="Arial" w:cs="Arial"/>
        </w:rPr>
        <w:t xml:space="preserve">as part of their induction. </w:t>
      </w:r>
      <w:r w:rsidR="004468B0" w:rsidRPr="00BA2BDF">
        <w:rPr>
          <w:rFonts w:ascii="Arial" w:hAnsi="Arial" w:cs="Arial"/>
        </w:rPr>
        <w:t xml:space="preserve"> </w:t>
      </w:r>
      <w:r w:rsidRPr="00BA2BDF">
        <w:rPr>
          <w:rFonts w:ascii="Arial" w:hAnsi="Arial" w:cs="Arial"/>
        </w:rPr>
        <w:t>The pro</w:t>
      </w:r>
      <w:r w:rsidR="00F05836" w:rsidRPr="00BA2BDF">
        <w:rPr>
          <w:rFonts w:ascii="Arial" w:hAnsi="Arial" w:cs="Arial"/>
        </w:rPr>
        <w:t xml:space="preserve">cedure will be reviewed every three years or </w:t>
      </w:r>
      <w:r w:rsidR="00E873E8" w:rsidRPr="00BA2BDF">
        <w:rPr>
          <w:rFonts w:ascii="Arial" w:hAnsi="Arial" w:cs="Arial"/>
        </w:rPr>
        <w:t xml:space="preserve">sooner </w:t>
      </w:r>
      <w:r w:rsidR="00F05836" w:rsidRPr="00BA2BDF">
        <w:rPr>
          <w:rFonts w:ascii="Arial" w:hAnsi="Arial" w:cs="Arial"/>
        </w:rPr>
        <w:t xml:space="preserve">in the event </w:t>
      </w:r>
      <w:r w:rsidR="00E873E8" w:rsidRPr="00BA2BDF">
        <w:rPr>
          <w:rFonts w:ascii="Arial" w:hAnsi="Arial" w:cs="Arial"/>
        </w:rPr>
        <w:t xml:space="preserve">of </w:t>
      </w:r>
      <w:r w:rsidR="00F05836" w:rsidRPr="00BA2BDF">
        <w:rPr>
          <w:rFonts w:ascii="Arial" w:hAnsi="Arial" w:cs="Arial"/>
        </w:rPr>
        <w:t>any incidents involving a breach</w:t>
      </w:r>
      <w:r w:rsidRPr="00BA2BDF">
        <w:rPr>
          <w:rFonts w:ascii="Arial" w:hAnsi="Arial" w:cs="Arial"/>
        </w:rPr>
        <w:t>.</w:t>
      </w:r>
    </w:p>
    <w:sectPr w:rsidR="00630228" w:rsidRPr="00630228">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38B8B" w14:textId="77777777" w:rsidR="00662277" w:rsidRDefault="00662277">
      <w:r>
        <w:separator/>
      </w:r>
    </w:p>
  </w:endnote>
  <w:endnote w:type="continuationSeparator" w:id="0">
    <w:p w14:paraId="6BDF8E5F" w14:textId="77777777" w:rsidR="00662277" w:rsidRDefault="0066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46B5" w14:textId="2EE5DFC5" w:rsidR="008666D3" w:rsidRPr="00C11071" w:rsidRDefault="008666D3" w:rsidP="00CB66DA">
    <w:pPr>
      <w:pStyle w:val="Footer"/>
      <w:jc w:val="center"/>
      <w:rPr>
        <w:rFonts w:ascii="Arial" w:hAnsi="Arial" w:cs="Arial"/>
        <w:bCs/>
        <w:sz w:val="16"/>
        <w:szCs w:val="16"/>
      </w:rPr>
    </w:pPr>
    <w:r w:rsidRPr="00C11071">
      <w:rPr>
        <w:rFonts w:ascii="Arial" w:hAnsi="Arial" w:cs="Arial"/>
        <w:bCs/>
        <w:sz w:val="16"/>
        <w:szCs w:val="16"/>
        <w:lang w:val="en-US"/>
      </w:rPr>
      <w:fldChar w:fldCharType="begin"/>
    </w:r>
    <w:r w:rsidRPr="00C11071">
      <w:rPr>
        <w:rFonts w:ascii="Arial" w:hAnsi="Arial" w:cs="Arial"/>
        <w:bCs/>
        <w:sz w:val="16"/>
        <w:szCs w:val="16"/>
        <w:lang w:val="en-US"/>
      </w:rPr>
      <w:instrText xml:space="preserve"> FILENAME \p </w:instrText>
    </w:r>
    <w:r w:rsidRPr="00C11071">
      <w:rPr>
        <w:rFonts w:ascii="Arial" w:hAnsi="Arial" w:cs="Arial"/>
        <w:bCs/>
        <w:sz w:val="16"/>
        <w:szCs w:val="16"/>
        <w:lang w:val="en-US"/>
      </w:rPr>
      <w:fldChar w:fldCharType="separate"/>
    </w:r>
    <w:r w:rsidR="00A1562B" w:rsidRPr="00C11071">
      <w:rPr>
        <w:rFonts w:ascii="Arial" w:hAnsi="Arial" w:cs="Arial"/>
        <w:bCs/>
        <w:noProof/>
        <w:sz w:val="16"/>
        <w:szCs w:val="16"/>
        <w:lang w:val="en-US"/>
      </w:rPr>
      <w:t>S:/Organisation</w:t>
    </w:r>
    <w:r w:rsidR="00655093" w:rsidRPr="00C11071">
      <w:rPr>
        <w:rFonts w:ascii="Arial" w:hAnsi="Arial" w:cs="Arial"/>
        <w:bCs/>
        <w:noProof/>
        <w:sz w:val="16"/>
        <w:szCs w:val="16"/>
        <w:lang w:val="en-US"/>
      </w:rPr>
      <w:t>/</w:t>
    </w:r>
    <w:r w:rsidR="00925027" w:rsidRPr="00C11071">
      <w:rPr>
        <w:rFonts w:ascii="Arial" w:hAnsi="Arial" w:cs="Arial"/>
        <w:bCs/>
        <w:noProof/>
        <w:sz w:val="16"/>
        <w:szCs w:val="16"/>
        <w:lang w:val="en-US"/>
      </w:rPr>
      <w:t>Policies &amp; Procedures</w:t>
    </w:r>
    <w:r w:rsidR="00655093" w:rsidRPr="00C11071">
      <w:rPr>
        <w:rFonts w:ascii="Arial" w:hAnsi="Arial" w:cs="Arial"/>
        <w:bCs/>
        <w:noProof/>
        <w:sz w:val="16"/>
        <w:szCs w:val="16"/>
        <w:lang w:val="en-US"/>
      </w:rPr>
      <w:t>/Confidentiality Policy.docx</w:t>
    </w:r>
    <w:r w:rsidRPr="00C11071">
      <w:rPr>
        <w:rFonts w:ascii="Arial" w:hAnsi="Arial" w:cs="Arial"/>
        <w:bCs/>
        <w:sz w:val="16"/>
        <w:szCs w:val="16"/>
        <w:lang w:val="en-US"/>
      </w:rPr>
      <w:fldChar w:fldCharType="end"/>
    </w:r>
  </w:p>
  <w:p w14:paraId="4F5846B6" w14:textId="77777777" w:rsidR="008666D3" w:rsidRPr="00C11071" w:rsidRDefault="008666D3">
    <w:pPr>
      <w:pStyle w:val="Footer"/>
      <w:jc w:val="center"/>
      <w:rPr>
        <w:rFonts w:ascii="Arial" w:hAnsi="Arial" w:cs="Arial"/>
        <w:bCs/>
        <w:snapToGrid w:val="0"/>
        <w:sz w:val="16"/>
        <w:szCs w:val="16"/>
        <w:lang w:val="en-US"/>
      </w:rPr>
    </w:pPr>
    <w:r w:rsidRPr="00C11071">
      <w:rPr>
        <w:rFonts w:ascii="Arial" w:hAnsi="Arial" w:cs="Arial"/>
        <w:bCs/>
        <w:snapToGrid w:val="0"/>
        <w:sz w:val="16"/>
        <w:szCs w:val="16"/>
        <w:lang w:val="en-US"/>
      </w:rPr>
      <w:t xml:space="preserve">Page </w:t>
    </w:r>
    <w:r w:rsidRPr="00C11071">
      <w:rPr>
        <w:rFonts w:ascii="Arial" w:hAnsi="Arial" w:cs="Arial"/>
        <w:bCs/>
        <w:snapToGrid w:val="0"/>
        <w:sz w:val="16"/>
        <w:szCs w:val="16"/>
        <w:lang w:val="en-US"/>
      </w:rPr>
      <w:fldChar w:fldCharType="begin"/>
    </w:r>
    <w:r w:rsidRPr="00C11071">
      <w:rPr>
        <w:rFonts w:ascii="Arial" w:hAnsi="Arial" w:cs="Arial"/>
        <w:bCs/>
        <w:snapToGrid w:val="0"/>
        <w:sz w:val="16"/>
        <w:szCs w:val="16"/>
        <w:lang w:val="en-US"/>
      </w:rPr>
      <w:instrText xml:space="preserve"> PAGE </w:instrText>
    </w:r>
    <w:r w:rsidRPr="00C11071">
      <w:rPr>
        <w:rFonts w:ascii="Arial" w:hAnsi="Arial" w:cs="Arial"/>
        <w:bCs/>
        <w:snapToGrid w:val="0"/>
        <w:sz w:val="16"/>
        <w:szCs w:val="16"/>
        <w:lang w:val="en-US"/>
      </w:rPr>
      <w:fldChar w:fldCharType="separate"/>
    </w:r>
    <w:r w:rsidR="007F351B" w:rsidRPr="00C11071">
      <w:rPr>
        <w:rFonts w:ascii="Arial" w:hAnsi="Arial" w:cs="Arial"/>
        <w:bCs/>
        <w:noProof/>
        <w:snapToGrid w:val="0"/>
        <w:sz w:val="16"/>
        <w:szCs w:val="16"/>
        <w:lang w:val="en-US"/>
      </w:rPr>
      <w:t>9</w:t>
    </w:r>
    <w:r w:rsidRPr="00C11071">
      <w:rPr>
        <w:rFonts w:ascii="Arial" w:hAnsi="Arial" w:cs="Arial"/>
        <w:bCs/>
        <w:snapToGrid w:val="0"/>
        <w:sz w:val="16"/>
        <w:szCs w:val="16"/>
        <w:lang w:val="en-US"/>
      </w:rPr>
      <w:fldChar w:fldCharType="end"/>
    </w:r>
    <w:r w:rsidRPr="00C11071">
      <w:rPr>
        <w:rFonts w:ascii="Arial" w:hAnsi="Arial" w:cs="Arial"/>
        <w:bCs/>
        <w:snapToGrid w:val="0"/>
        <w:sz w:val="16"/>
        <w:szCs w:val="16"/>
        <w:lang w:val="en-US"/>
      </w:rPr>
      <w:t xml:space="preserve"> of </w:t>
    </w:r>
    <w:r w:rsidRPr="00C11071">
      <w:rPr>
        <w:rFonts w:ascii="Arial" w:hAnsi="Arial" w:cs="Arial"/>
        <w:bCs/>
        <w:snapToGrid w:val="0"/>
        <w:sz w:val="16"/>
        <w:szCs w:val="16"/>
        <w:lang w:val="en-US"/>
      </w:rPr>
      <w:fldChar w:fldCharType="begin"/>
    </w:r>
    <w:r w:rsidRPr="00C11071">
      <w:rPr>
        <w:rFonts w:ascii="Arial" w:hAnsi="Arial" w:cs="Arial"/>
        <w:bCs/>
        <w:snapToGrid w:val="0"/>
        <w:sz w:val="16"/>
        <w:szCs w:val="16"/>
        <w:lang w:val="en-US"/>
      </w:rPr>
      <w:instrText xml:space="preserve"> NUMPAGES </w:instrText>
    </w:r>
    <w:r w:rsidRPr="00C11071">
      <w:rPr>
        <w:rFonts w:ascii="Arial" w:hAnsi="Arial" w:cs="Arial"/>
        <w:bCs/>
        <w:snapToGrid w:val="0"/>
        <w:sz w:val="16"/>
        <w:szCs w:val="16"/>
        <w:lang w:val="en-US"/>
      </w:rPr>
      <w:fldChar w:fldCharType="separate"/>
    </w:r>
    <w:r w:rsidR="007F351B" w:rsidRPr="00C11071">
      <w:rPr>
        <w:rFonts w:ascii="Arial" w:hAnsi="Arial" w:cs="Arial"/>
        <w:bCs/>
        <w:noProof/>
        <w:snapToGrid w:val="0"/>
        <w:sz w:val="16"/>
        <w:szCs w:val="16"/>
        <w:lang w:val="en-US"/>
      </w:rPr>
      <w:t>9</w:t>
    </w:r>
    <w:r w:rsidRPr="00C11071">
      <w:rPr>
        <w:rFonts w:ascii="Arial" w:hAnsi="Arial" w:cs="Arial"/>
        <w:bCs/>
        <w:snapToGrid w:val="0"/>
        <w:sz w:val="16"/>
        <w:szCs w:val="16"/>
        <w:lang w:val="en-US"/>
      </w:rPr>
      <w:fldChar w:fldCharType="end"/>
    </w:r>
  </w:p>
  <w:p w14:paraId="4F5846B7" w14:textId="66BBCAAE" w:rsidR="008666D3" w:rsidRPr="00C11071" w:rsidRDefault="0E707C01" w:rsidP="0E707C01">
    <w:pPr>
      <w:pStyle w:val="Footer"/>
      <w:jc w:val="center"/>
      <w:rPr>
        <w:rFonts w:ascii="Arial" w:hAnsi="Arial" w:cs="Arial"/>
        <w:snapToGrid w:val="0"/>
        <w:sz w:val="16"/>
        <w:szCs w:val="16"/>
        <w:lang w:val="en-US"/>
      </w:rPr>
    </w:pPr>
    <w:r w:rsidRPr="00C11071">
      <w:rPr>
        <w:rFonts w:ascii="Arial" w:hAnsi="Arial" w:cs="Arial"/>
        <w:snapToGrid w:val="0"/>
        <w:sz w:val="16"/>
        <w:szCs w:val="16"/>
        <w:lang w:val="en-US"/>
      </w:rPr>
      <w:t xml:space="preserve">Last Reviewed </w:t>
    </w:r>
    <w:r w:rsidR="002B3FCD" w:rsidRPr="00C11071">
      <w:rPr>
        <w:rFonts w:ascii="Arial" w:hAnsi="Arial" w:cs="Arial"/>
        <w:snapToGrid w:val="0"/>
        <w:sz w:val="16"/>
        <w:szCs w:val="16"/>
        <w:lang w:val="en-US"/>
      </w:rPr>
      <w:t>04</w:t>
    </w:r>
    <w:r w:rsidRPr="00C11071">
      <w:rPr>
        <w:rFonts w:ascii="Arial" w:hAnsi="Arial" w:cs="Arial"/>
        <w:snapToGrid w:val="0"/>
        <w:sz w:val="16"/>
        <w:szCs w:val="16"/>
        <w:lang w:val="en-US"/>
      </w:rPr>
      <w:t>.</w:t>
    </w:r>
    <w:r w:rsidR="00295975">
      <w:rPr>
        <w:rFonts w:ascii="Arial" w:hAnsi="Arial" w:cs="Arial"/>
        <w:snapToGrid w:val="0"/>
        <w:sz w:val="16"/>
        <w:szCs w:val="16"/>
        <w:lang w:val="en-US"/>
      </w:rPr>
      <w:t>0</w:t>
    </w:r>
    <w:r w:rsidR="002B3FCD" w:rsidRPr="00C11071">
      <w:rPr>
        <w:rFonts w:ascii="Arial" w:hAnsi="Arial" w:cs="Arial"/>
        <w:snapToGrid w:val="0"/>
        <w:sz w:val="16"/>
        <w:szCs w:val="16"/>
        <w:lang w:val="en-US"/>
      </w:rPr>
      <w:t>9</w:t>
    </w:r>
    <w:r w:rsidRPr="00C11071">
      <w:rPr>
        <w:rFonts w:ascii="Arial" w:hAnsi="Arial" w:cs="Arial"/>
        <w:snapToGrid w:val="0"/>
        <w:sz w:val="16"/>
        <w:szCs w:val="16"/>
        <w:lang w:val="en-US"/>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612B1" w14:textId="77777777" w:rsidR="00662277" w:rsidRDefault="00662277">
      <w:r>
        <w:separator/>
      </w:r>
    </w:p>
  </w:footnote>
  <w:footnote w:type="continuationSeparator" w:id="0">
    <w:p w14:paraId="01C251B3" w14:textId="77777777" w:rsidR="00662277" w:rsidRDefault="0066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0E707C01" w14:paraId="2ED58F8E" w14:textId="77777777" w:rsidTr="0E707C01">
      <w:trPr>
        <w:trHeight w:val="300"/>
      </w:trPr>
      <w:tc>
        <w:tcPr>
          <w:tcW w:w="2765" w:type="dxa"/>
        </w:tcPr>
        <w:p w14:paraId="1960532C" w14:textId="2B57163A" w:rsidR="0E707C01" w:rsidRDefault="0E707C01" w:rsidP="0E707C01">
          <w:pPr>
            <w:pStyle w:val="Header"/>
            <w:ind w:left="-115"/>
          </w:pPr>
        </w:p>
      </w:tc>
      <w:tc>
        <w:tcPr>
          <w:tcW w:w="2765" w:type="dxa"/>
        </w:tcPr>
        <w:p w14:paraId="751D4F8F" w14:textId="3E69B8A5" w:rsidR="0E707C01" w:rsidRDefault="0E707C01" w:rsidP="0E707C01">
          <w:pPr>
            <w:pStyle w:val="Header"/>
            <w:jc w:val="center"/>
          </w:pPr>
        </w:p>
      </w:tc>
      <w:tc>
        <w:tcPr>
          <w:tcW w:w="2765" w:type="dxa"/>
        </w:tcPr>
        <w:p w14:paraId="434023A7" w14:textId="16CAE8F8" w:rsidR="0E707C01" w:rsidRDefault="0E707C01" w:rsidP="0E707C01">
          <w:pPr>
            <w:pStyle w:val="Header"/>
            <w:ind w:right="-115"/>
            <w:jc w:val="right"/>
          </w:pPr>
        </w:p>
      </w:tc>
    </w:tr>
  </w:tbl>
  <w:p w14:paraId="4C35782E" w14:textId="59BA9CB3" w:rsidR="0E707C01" w:rsidRDefault="0E707C01" w:rsidP="0E70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4C41"/>
    <w:multiLevelType w:val="hybridMultilevel"/>
    <w:tmpl w:val="4D68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C6FF1"/>
    <w:multiLevelType w:val="hybridMultilevel"/>
    <w:tmpl w:val="72F6A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9412C8"/>
    <w:multiLevelType w:val="hybridMultilevel"/>
    <w:tmpl w:val="8688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026E8"/>
    <w:multiLevelType w:val="hybridMultilevel"/>
    <w:tmpl w:val="BA18AEB2"/>
    <w:lvl w:ilvl="0" w:tplc="5B449D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F43F1"/>
    <w:multiLevelType w:val="hybridMultilevel"/>
    <w:tmpl w:val="792E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B287A"/>
    <w:multiLevelType w:val="multilevel"/>
    <w:tmpl w:val="FAE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6731A"/>
    <w:multiLevelType w:val="hybridMultilevel"/>
    <w:tmpl w:val="DC94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2263E"/>
    <w:multiLevelType w:val="hybridMultilevel"/>
    <w:tmpl w:val="8FD4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718CD"/>
    <w:multiLevelType w:val="hybridMultilevel"/>
    <w:tmpl w:val="467C5B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408DA"/>
    <w:multiLevelType w:val="hybridMultilevel"/>
    <w:tmpl w:val="849E32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4D756C"/>
    <w:multiLevelType w:val="hybridMultilevel"/>
    <w:tmpl w:val="97B80088"/>
    <w:lvl w:ilvl="0" w:tplc="A8FA2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4051275">
    <w:abstractNumId w:val="8"/>
  </w:num>
  <w:num w:numId="2" w16cid:durableId="1601984617">
    <w:abstractNumId w:val="9"/>
  </w:num>
  <w:num w:numId="3" w16cid:durableId="1779444729">
    <w:abstractNumId w:val="10"/>
  </w:num>
  <w:num w:numId="4" w16cid:durableId="734548973">
    <w:abstractNumId w:val="1"/>
  </w:num>
  <w:num w:numId="5" w16cid:durableId="2039309199">
    <w:abstractNumId w:val="2"/>
  </w:num>
  <w:num w:numId="6" w16cid:durableId="629437230">
    <w:abstractNumId w:val="3"/>
  </w:num>
  <w:num w:numId="7" w16cid:durableId="1992324323">
    <w:abstractNumId w:val="0"/>
  </w:num>
  <w:num w:numId="8" w16cid:durableId="280593">
    <w:abstractNumId w:val="6"/>
  </w:num>
  <w:num w:numId="9" w16cid:durableId="1823080679">
    <w:abstractNumId w:val="7"/>
  </w:num>
  <w:num w:numId="10" w16cid:durableId="1456098342">
    <w:abstractNumId w:val="5"/>
  </w:num>
  <w:num w:numId="11" w16cid:durableId="131598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B7"/>
    <w:rsid w:val="000139BE"/>
    <w:rsid w:val="000144E9"/>
    <w:rsid w:val="0002473B"/>
    <w:rsid w:val="0002667F"/>
    <w:rsid w:val="000410ED"/>
    <w:rsid w:val="00053ECC"/>
    <w:rsid w:val="000574D4"/>
    <w:rsid w:val="000604AE"/>
    <w:rsid w:val="00060B68"/>
    <w:rsid w:val="00060B9C"/>
    <w:rsid w:val="00083D18"/>
    <w:rsid w:val="000A0353"/>
    <w:rsid w:val="000A1059"/>
    <w:rsid w:val="000A1CE2"/>
    <w:rsid w:val="000B1AF2"/>
    <w:rsid w:val="000C23FF"/>
    <w:rsid w:val="000E02C7"/>
    <w:rsid w:val="00110E4B"/>
    <w:rsid w:val="001120E7"/>
    <w:rsid w:val="00116E14"/>
    <w:rsid w:val="00122D40"/>
    <w:rsid w:val="00133E06"/>
    <w:rsid w:val="001414F6"/>
    <w:rsid w:val="00141772"/>
    <w:rsid w:val="0014212A"/>
    <w:rsid w:val="00173DE1"/>
    <w:rsid w:val="0019010D"/>
    <w:rsid w:val="00196179"/>
    <w:rsid w:val="001A599C"/>
    <w:rsid w:val="001E23F1"/>
    <w:rsid w:val="001E7B48"/>
    <w:rsid w:val="00216E14"/>
    <w:rsid w:val="00233939"/>
    <w:rsid w:val="00235377"/>
    <w:rsid w:val="00236E7B"/>
    <w:rsid w:val="00245F60"/>
    <w:rsid w:val="00247F98"/>
    <w:rsid w:val="00253B5D"/>
    <w:rsid w:val="00254B8B"/>
    <w:rsid w:val="002645DD"/>
    <w:rsid w:val="00274132"/>
    <w:rsid w:val="00295975"/>
    <w:rsid w:val="002A667B"/>
    <w:rsid w:val="002B3FCD"/>
    <w:rsid w:val="002E1AF6"/>
    <w:rsid w:val="002F397B"/>
    <w:rsid w:val="002F5D0F"/>
    <w:rsid w:val="002F7FA7"/>
    <w:rsid w:val="00340FB7"/>
    <w:rsid w:val="00341129"/>
    <w:rsid w:val="00341F52"/>
    <w:rsid w:val="00345E39"/>
    <w:rsid w:val="0036103B"/>
    <w:rsid w:val="003672DB"/>
    <w:rsid w:val="00370CA6"/>
    <w:rsid w:val="00373915"/>
    <w:rsid w:val="00376116"/>
    <w:rsid w:val="00382BA5"/>
    <w:rsid w:val="003853D0"/>
    <w:rsid w:val="003A41EC"/>
    <w:rsid w:val="003A4365"/>
    <w:rsid w:val="003B1CA8"/>
    <w:rsid w:val="003E22D9"/>
    <w:rsid w:val="00401518"/>
    <w:rsid w:val="00407F72"/>
    <w:rsid w:val="004114A8"/>
    <w:rsid w:val="0041735D"/>
    <w:rsid w:val="004250D3"/>
    <w:rsid w:val="00427777"/>
    <w:rsid w:val="00427E85"/>
    <w:rsid w:val="004305BE"/>
    <w:rsid w:val="004432C8"/>
    <w:rsid w:val="004445FB"/>
    <w:rsid w:val="004468B0"/>
    <w:rsid w:val="004632D2"/>
    <w:rsid w:val="00482DFE"/>
    <w:rsid w:val="004A4BB9"/>
    <w:rsid w:val="004F5515"/>
    <w:rsid w:val="005032CB"/>
    <w:rsid w:val="00504CE9"/>
    <w:rsid w:val="0050712A"/>
    <w:rsid w:val="00510EA2"/>
    <w:rsid w:val="0051348E"/>
    <w:rsid w:val="00534DC4"/>
    <w:rsid w:val="0054192A"/>
    <w:rsid w:val="00551A29"/>
    <w:rsid w:val="005524FF"/>
    <w:rsid w:val="00566E26"/>
    <w:rsid w:val="0057547B"/>
    <w:rsid w:val="005A5AD2"/>
    <w:rsid w:val="005C3A84"/>
    <w:rsid w:val="005C43CE"/>
    <w:rsid w:val="005C56CB"/>
    <w:rsid w:val="005E4FB9"/>
    <w:rsid w:val="005F6EB0"/>
    <w:rsid w:val="00603281"/>
    <w:rsid w:val="006079E3"/>
    <w:rsid w:val="00607E36"/>
    <w:rsid w:val="00616226"/>
    <w:rsid w:val="00630228"/>
    <w:rsid w:val="00632B2B"/>
    <w:rsid w:val="00654EF7"/>
    <w:rsid w:val="00655093"/>
    <w:rsid w:val="00662277"/>
    <w:rsid w:val="00681268"/>
    <w:rsid w:val="00684D59"/>
    <w:rsid w:val="00684E1F"/>
    <w:rsid w:val="00692C17"/>
    <w:rsid w:val="006D4759"/>
    <w:rsid w:val="006E5808"/>
    <w:rsid w:val="006E6225"/>
    <w:rsid w:val="006F713B"/>
    <w:rsid w:val="00702BC0"/>
    <w:rsid w:val="00703772"/>
    <w:rsid w:val="00703932"/>
    <w:rsid w:val="00716A4E"/>
    <w:rsid w:val="00716C48"/>
    <w:rsid w:val="00737BE1"/>
    <w:rsid w:val="00757A79"/>
    <w:rsid w:val="00765F0C"/>
    <w:rsid w:val="007731BD"/>
    <w:rsid w:val="007744BB"/>
    <w:rsid w:val="00787A50"/>
    <w:rsid w:val="00797729"/>
    <w:rsid w:val="007C3D33"/>
    <w:rsid w:val="007D13B2"/>
    <w:rsid w:val="007D677C"/>
    <w:rsid w:val="007D7E5C"/>
    <w:rsid w:val="007F351B"/>
    <w:rsid w:val="008013BA"/>
    <w:rsid w:val="00814E4E"/>
    <w:rsid w:val="00823C79"/>
    <w:rsid w:val="00831055"/>
    <w:rsid w:val="008401D4"/>
    <w:rsid w:val="008407A0"/>
    <w:rsid w:val="00842C47"/>
    <w:rsid w:val="008666D3"/>
    <w:rsid w:val="00871295"/>
    <w:rsid w:val="00874D1C"/>
    <w:rsid w:val="00876FEE"/>
    <w:rsid w:val="00885283"/>
    <w:rsid w:val="00890E61"/>
    <w:rsid w:val="008B35FD"/>
    <w:rsid w:val="008C51DC"/>
    <w:rsid w:val="008C6365"/>
    <w:rsid w:val="008E7CCA"/>
    <w:rsid w:val="00901D50"/>
    <w:rsid w:val="00912D2D"/>
    <w:rsid w:val="00917F51"/>
    <w:rsid w:val="00920BA3"/>
    <w:rsid w:val="00924169"/>
    <w:rsid w:val="00925027"/>
    <w:rsid w:val="00930827"/>
    <w:rsid w:val="00944977"/>
    <w:rsid w:val="00945F30"/>
    <w:rsid w:val="0095574B"/>
    <w:rsid w:val="0096135C"/>
    <w:rsid w:val="00962DA2"/>
    <w:rsid w:val="009774BD"/>
    <w:rsid w:val="009B0850"/>
    <w:rsid w:val="009B6D6E"/>
    <w:rsid w:val="009C3CA1"/>
    <w:rsid w:val="009C714D"/>
    <w:rsid w:val="009D70E7"/>
    <w:rsid w:val="00A1168B"/>
    <w:rsid w:val="00A1562B"/>
    <w:rsid w:val="00A3237E"/>
    <w:rsid w:val="00A35A6C"/>
    <w:rsid w:val="00A376CD"/>
    <w:rsid w:val="00A44244"/>
    <w:rsid w:val="00A500B6"/>
    <w:rsid w:val="00A57437"/>
    <w:rsid w:val="00A7144B"/>
    <w:rsid w:val="00A7615A"/>
    <w:rsid w:val="00A85E59"/>
    <w:rsid w:val="00A95493"/>
    <w:rsid w:val="00AA19AE"/>
    <w:rsid w:val="00AC3318"/>
    <w:rsid w:val="00AE1B39"/>
    <w:rsid w:val="00AF21D7"/>
    <w:rsid w:val="00AF6AD0"/>
    <w:rsid w:val="00B026FC"/>
    <w:rsid w:val="00B04113"/>
    <w:rsid w:val="00B06474"/>
    <w:rsid w:val="00B0676E"/>
    <w:rsid w:val="00B21854"/>
    <w:rsid w:val="00B27069"/>
    <w:rsid w:val="00B47C64"/>
    <w:rsid w:val="00B51FEA"/>
    <w:rsid w:val="00B6667A"/>
    <w:rsid w:val="00B7496E"/>
    <w:rsid w:val="00B92307"/>
    <w:rsid w:val="00BA2BDF"/>
    <w:rsid w:val="00BC0C5A"/>
    <w:rsid w:val="00BD0C1F"/>
    <w:rsid w:val="00BD30BF"/>
    <w:rsid w:val="00BE4E42"/>
    <w:rsid w:val="00BF0F90"/>
    <w:rsid w:val="00C11071"/>
    <w:rsid w:val="00C4739A"/>
    <w:rsid w:val="00C768BC"/>
    <w:rsid w:val="00C7796E"/>
    <w:rsid w:val="00C806D5"/>
    <w:rsid w:val="00C877AF"/>
    <w:rsid w:val="00C92E97"/>
    <w:rsid w:val="00C947CE"/>
    <w:rsid w:val="00CB291F"/>
    <w:rsid w:val="00CB44E9"/>
    <w:rsid w:val="00CB66DA"/>
    <w:rsid w:val="00CC1A8B"/>
    <w:rsid w:val="00CC24D8"/>
    <w:rsid w:val="00CC2F4C"/>
    <w:rsid w:val="00CD06B7"/>
    <w:rsid w:val="00CE5196"/>
    <w:rsid w:val="00CE7189"/>
    <w:rsid w:val="00D00B7E"/>
    <w:rsid w:val="00D00CAC"/>
    <w:rsid w:val="00D226FF"/>
    <w:rsid w:val="00D30FEE"/>
    <w:rsid w:val="00D541FD"/>
    <w:rsid w:val="00D55120"/>
    <w:rsid w:val="00D6049E"/>
    <w:rsid w:val="00D60E26"/>
    <w:rsid w:val="00D87DF4"/>
    <w:rsid w:val="00D9723A"/>
    <w:rsid w:val="00DA4F08"/>
    <w:rsid w:val="00DB7CE7"/>
    <w:rsid w:val="00DC2B03"/>
    <w:rsid w:val="00DD3A45"/>
    <w:rsid w:val="00DE1979"/>
    <w:rsid w:val="00DE3142"/>
    <w:rsid w:val="00DE3CEE"/>
    <w:rsid w:val="00E07BEA"/>
    <w:rsid w:val="00E103A7"/>
    <w:rsid w:val="00E26B1E"/>
    <w:rsid w:val="00E40C25"/>
    <w:rsid w:val="00E44DDE"/>
    <w:rsid w:val="00E61A26"/>
    <w:rsid w:val="00E645E5"/>
    <w:rsid w:val="00E71F2A"/>
    <w:rsid w:val="00E873E8"/>
    <w:rsid w:val="00E962B7"/>
    <w:rsid w:val="00EA4735"/>
    <w:rsid w:val="00EE36C0"/>
    <w:rsid w:val="00EE67FD"/>
    <w:rsid w:val="00EF5699"/>
    <w:rsid w:val="00EF58EA"/>
    <w:rsid w:val="00EF7F8D"/>
    <w:rsid w:val="00F040D8"/>
    <w:rsid w:val="00F05836"/>
    <w:rsid w:val="00F45A15"/>
    <w:rsid w:val="00F53FA0"/>
    <w:rsid w:val="00F70C94"/>
    <w:rsid w:val="00F832DB"/>
    <w:rsid w:val="00F90718"/>
    <w:rsid w:val="00F959AB"/>
    <w:rsid w:val="00FA6B7C"/>
    <w:rsid w:val="00FD2B48"/>
    <w:rsid w:val="00FE18AA"/>
    <w:rsid w:val="037EA25A"/>
    <w:rsid w:val="0465268E"/>
    <w:rsid w:val="06060731"/>
    <w:rsid w:val="0A884C80"/>
    <w:rsid w:val="0E707C01"/>
    <w:rsid w:val="0F53C635"/>
    <w:rsid w:val="0FB351A6"/>
    <w:rsid w:val="19ABE46E"/>
    <w:rsid w:val="22D8D8E9"/>
    <w:rsid w:val="2FAE9CD8"/>
    <w:rsid w:val="3046F574"/>
    <w:rsid w:val="35C75E0D"/>
    <w:rsid w:val="35FCF7B0"/>
    <w:rsid w:val="368EEF91"/>
    <w:rsid w:val="3C5C90A0"/>
    <w:rsid w:val="45084E30"/>
    <w:rsid w:val="464C884C"/>
    <w:rsid w:val="4DB62F42"/>
    <w:rsid w:val="4E3AF46D"/>
    <w:rsid w:val="5B7127F4"/>
    <w:rsid w:val="5E71BCAD"/>
    <w:rsid w:val="62DBF434"/>
    <w:rsid w:val="63482694"/>
    <w:rsid w:val="65F8BA38"/>
    <w:rsid w:val="7A0CEA61"/>
    <w:rsid w:val="7F6474A0"/>
    <w:rsid w:val="7FD42B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845F2"/>
  <w15:chartTrackingRefBased/>
  <w15:docId w15:val="{E6337B9B-9F85-43A0-B4B7-DF32702F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F05836"/>
    <w:pPr>
      <w:ind w:left="720"/>
    </w:pPr>
  </w:style>
  <w:style w:type="paragraph" w:styleId="BalloonText">
    <w:name w:val="Balloon Text"/>
    <w:basedOn w:val="Normal"/>
    <w:link w:val="BalloonTextChar"/>
    <w:rsid w:val="00427777"/>
    <w:rPr>
      <w:rFonts w:ascii="Segoe UI" w:hAnsi="Segoe UI" w:cs="Segoe UI"/>
      <w:sz w:val="18"/>
      <w:szCs w:val="18"/>
    </w:rPr>
  </w:style>
  <w:style w:type="character" w:customStyle="1" w:styleId="BalloonTextChar">
    <w:name w:val="Balloon Text Char"/>
    <w:link w:val="BalloonText"/>
    <w:rsid w:val="00427777"/>
    <w:rPr>
      <w:rFonts w:ascii="Segoe UI" w:hAnsi="Segoe UI" w:cs="Segoe UI"/>
      <w:sz w:val="18"/>
      <w:szCs w:val="18"/>
      <w:lang w:eastAsia="en-US"/>
    </w:rPr>
  </w:style>
  <w:style w:type="paragraph" w:styleId="NormalWeb">
    <w:name w:val="Normal (Web)"/>
    <w:basedOn w:val="Normal"/>
    <w:uiPriority w:val="99"/>
    <w:unhideWhenUsed/>
    <w:rsid w:val="009B6D6E"/>
    <w:pPr>
      <w:spacing w:before="100" w:beforeAutospacing="1" w:after="100" w:afterAutospacing="1"/>
    </w:pPr>
    <w:rPr>
      <w:lang w:eastAsia="en-GB"/>
    </w:rPr>
  </w:style>
  <w:style w:type="paragraph" w:customStyle="1" w:styleId="trt0xe">
    <w:name w:val="trt0xe"/>
    <w:basedOn w:val="Normal"/>
    <w:rsid w:val="000E02C7"/>
    <w:pPr>
      <w:spacing w:before="100" w:beforeAutospacing="1" w:after="100" w:afterAutospacing="1"/>
    </w:pPr>
    <w:rPr>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77970">
      <w:bodyDiv w:val="1"/>
      <w:marLeft w:val="0"/>
      <w:marRight w:val="0"/>
      <w:marTop w:val="0"/>
      <w:marBottom w:val="0"/>
      <w:divBdr>
        <w:top w:val="none" w:sz="0" w:space="0" w:color="auto"/>
        <w:left w:val="none" w:sz="0" w:space="0" w:color="auto"/>
        <w:bottom w:val="none" w:sz="0" w:space="0" w:color="auto"/>
        <w:right w:val="none" w:sz="0" w:space="0" w:color="auto"/>
      </w:divBdr>
    </w:div>
    <w:div w:id="759061301">
      <w:bodyDiv w:val="1"/>
      <w:marLeft w:val="120"/>
      <w:marRight w:val="120"/>
      <w:marTop w:val="0"/>
      <w:marBottom w:val="0"/>
      <w:divBdr>
        <w:top w:val="none" w:sz="0" w:space="0" w:color="auto"/>
        <w:left w:val="none" w:sz="0" w:space="0" w:color="auto"/>
        <w:bottom w:val="none" w:sz="0" w:space="0" w:color="auto"/>
        <w:right w:val="none" w:sz="0" w:space="0" w:color="auto"/>
      </w:divBdr>
      <w:divsChild>
        <w:div w:id="1530679773">
          <w:marLeft w:val="0"/>
          <w:marRight w:val="0"/>
          <w:marTop w:val="0"/>
          <w:marBottom w:val="0"/>
          <w:divBdr>
            <w:top w:val="none" w:sz="0" w:space="0" w:color="auto"/>
            <w:left w:val="none" w:sz="0" w:space="0" w:color="auto"/>
            <w:bottom w:val="none" w:sz="0" w:space="0" w:color="auto"/>
            <w:right w:val="none" w:sz="0" w:space="0" w:color="auto"/>
          </w:divBdr>
          <w:divsChild>
            <w:div w:id="14792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7598">
      <w:bodyDiv w:val="1"/>
      <w:marLeft w:val="0"/>
      <w:marRight w:val="0"/>
      <w:marTop w:val="0"/>
      <w:marBottom w:val="0"/>
      <w:divBdr>
        <w:top w:val="none" w:sz="0" w:space="0" w:color="auto"/>
        <w:left w:val="none" w:sz="0" w:space="0" w:color="auto"/>
        <w:bottom w:val="none" w:sz="0" w:space="0" w:color="auto"/>
        <w:right w:val="none" w:sz="0" w:space="0" w:color="auto"/>
      </w:divBdr>
      <w:divsChild>
        <w:div w:id="204971980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C36E83E990D42ACFAA8379CFBAF2B" ma:contentTypeVersion="15" ma:contentTypeDescription="Create a new document." ma:contentTypeScope="" ma:versionID="cf45579e05a2c30a15f389e8fdb7cf16">
  <xsd:schema xmlns:xsd="http://www.w3.org/2001/XMLSchema" xmlns:xs="http://www.w3.org/2001/XMLSchema" xmlns:p="http://schemas.microsoft.com/office/2006/metadata/properties" xmlns:ns2="b67bf7b7-3185-4691-a2b5-a6a7e99afe70" xmlns:ns3="ae42a3bc-9e8d-45de-9c06-fbdfc061fdeb" targetNamespace="http://schemas.microsoft.com/office/2006/metadata/properties" ma:root="true" ma:fieldsID="4f7db14d41158f0a647abf62b1b532d2" ns2:_="" ns3:_="">
    <xsd:import namespace="b67bf7b7-3185-4691-a2b5-a6a7e99afe70"/>
    <xsd:import namespace="ae42a3bc-9e8d-45de-9c06-fbdfc061fde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bf7b7-3185-4691-a2b5-a6a7e99afe7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cb5ed36-3606-43cc-8beb-b0cb6ead766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2a3bc-9e8d-45de-9c06-fbdfc061fde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cd54c1d-c86a-4015-afe8-574df618b09a}" ma:internalName="TaxCatchAll" ma:showField="CatchAllData" ma:web="ae42a3bc-9e8d-45de-9c06-fbdfc061fd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7bf7b7-3185-4691-a2b5-a6a7e99afe70">
      <Terms xmlns="http://schemas.microsoft.com/office/infopath/2007/PartnerControls"/>
    </lcf76f155ced4ddcb4097134ff3c332f>
    <TaxCatchAll xmlns="ae42a3bc-9e8d-45de-9c06-fbdfc061fd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7418-E904-42E3-8925-3647FCB0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bf7b7-3185-4691-a2b5-a6a7e99afe70"/>
    <ds:schemaRef ds:uri="ae42a3bc-9e8d-45de-9c06-fbdfc061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98585-991B-4E03-B8A6-5A8EB3F176B3}">
  <ds:schemaRefs>
    <ds:schemaRef ds:uri="http://schemas.microsoft.com/sharepoint/v3/contenttype/forms"/>
  </ds:schemaRefs>
</ds:datastoreItem>
</file>

<file path=customXml/itemProps3.xml><?xml version="1.0" encoding="utf-8"?>
<ds:datastoreItem xmlns:ds="http://schemas.openxmlformats.org/officeDocument/2006/customXml" ds:itemID="{CDF87A72-B4B1-4DB5-B488-CEB31A19B877}">
  <ds:schemaRefs>
    <ds:schemaRef ds:uri="http://schemas.microsoft.com/office/2006/metadata/properties"/>
    <ds:schemaRef ds:uri="http://schemas.microsoft.com/office/infopath/2007/PartnerControls"/>
    <ds:schemaRef ds:uri="58cda081-f5ee-4d2a-a972-ada9d328b8ef"/>
    <ds:schemaRef ds:uri="cb31c0af-4f21-4a6b-9fbe-a71113f2c3fd"/>
    <ds:schemaRef ds:uri="b67bf7b7-3185-4691-a2b5-a6a7e99afe70"/>
    <ds:schemaRef ds:uri="ae42a3bc-9e8d-45de-9c06-fbdfc061fdeb"/>
  </ds:schemaRefs>
</ds:datastoreItem>
</file>

<file path=customXml/itemProps4.xml><?xml version="1.0" encoding="utf-8"?>
<ds:datastoreItem xmlns:ds="http://schemas.openxmlformats.org/officeDocument/2006/customXml" ds:itemID="{6D22D891-0083-45C2-8B33-8A573EF0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3152</Words>
  <Characters>16904</Characters>
  <Application>Microsoft Office Word</Application>
  <DocSecurity>0</DocSecurity>
  <Lines>140</Lines>
  <Paragraphs>40</Paragraphs>
  <ScaleCrop>false</ScaleCrop>
  <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Supervision</dc:title>
  <dc:subject/>
  <dc:creator>Windows 2000 User</dc:creator>
  <cp:keywords/>
  <cp:lastModifiedBy>Wendy Sykes</cp:lastModifiedBy>
  <cp:revision>51</cp:revision>
  <cp:lastPrinted>2018-03-05T16:40:00Z</cp:lastPrinted>
  <dcterms:created xsi:type="dcterms:W3CDTF">2025-08-29T11:31:00Z</dcterms:created>
  <dcterms:modified xsi:type="dcterms:W3CDTF">2025-09-04T12:46:00Z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0x01010031BC36E83E990D42ACFAA8379CFBAF2B</vt:lpwstr>
  </property>
</Properties>
</file>